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82" w:rsidRDefault="00253F74">
      <w:pPr>
        <w:ind w:firstLine="720"/>
        <w:jc w:val="both"/>
        <w:rPr>
          <w:rFonts w:ascii="M_Times" w:hAnsi="M_Times"/>
          <w:lang w:val="en-US"/>
        </w:rPr>
      </w:pPr>
      <w:r>
        <w:rPr>
          <w:rFonts w:ascii="Arial" w:hAnsi="Arial" w:cs="Arial"/>
          <w:sz w:val="22"/>
          <w:szCs w:val="22"/>
          <w:lang w:val="mk-MK"/>
        </w:rPr>
        <w:t xml:space="preserve">Врз основа на член 36 став 1 точка 15 од законот за локална самоуправа (Сл.весник на Република Македонија бр.5/02), член 95 од законот за градежно земјиште (Сл.весник на Република Македонија бр.15/2015, 98/2015, 193/2015 226/2015,31/2016, и 190/2016) и </w:t>
      </w:r>
      <w:r>
        <w:rPr>
          <w:rFonts w:ascii="Arial" w:hAnsi="Arial" w:cs="Arial"/>
          <w:sz w:val="22"/>
          <w:szCs w:val="22"/>
          <w:lang w:val="mk-MK"/>
        </w:rPr>
        <w:t>Правилникот за степенот на уредувањето на градежното земјиште со објекти на комунална инфраструктура и начинот на утврдување на висината на трошоците за уредувањето во зависност од степенот на уреденост (Сл.весник на РМ бр.193/2016 и 72/2018), ии чл.21 ст.</w:t>
      </w:r>
      <w:r>
        <w:rPr>
          <w:rFonts w:ascii="Arial" w:hAnsi="Arial" w:cs="Arial"/>
          <w:sz w:val="22"/>
          <w:szCs w:val="22"/>
          <w:lang w:val="mk-MK"/>
        </w:rPr>
        <w:t>1 т.8 од Статутот на општина Зрновци бр.05/05) Советот на општина Зрновци на седницата одржана на ден 11.12.2023 година донесе</w:t>
      </w:r>
      <w:r>
        <w:rPr>
          <w:rFonts w:ascii="Arial" w:hAnsi="Arial" w:cs="Arial"/>
          <w:sz w:val="22"/>
          <w:szCs w:val="22"/>
          <w:lang w:val="en-US"/>
        </w:rPr>
        <w:t>:</w:t>
      </w:r>
    </w:p>
    <w:p w:rsidR="005B5E82" w:rsidRDefault="005B5E82">
      <w:pPr>
        <w:pStyle w:val="Heading1"/>
        <w:rPr>
          <w:rFonts w:ascii="M_Times" w:hAnsi="M_Times"/>
        </w:rPr>
      </w:pPr>
    </w:p>
    <w:p w:rsidR="005B5E82" w:rsidRDefault="00253F74">
      <w:pPr>
        <w:pStyle w:val="Heading1"/>
        <w:rPr>
          <w:rFonts w:ascii="M_Times" w:hAnsi="M_Times"/>
        </w:rPr>
      </w:pPr>
      <w:r>
        <w:rPr>
          <w:rFonts w:ascii="M_Times" w:hAnsi="M_Times"/>
        </w:rPr>
        <w:t>P R O G R A M A</w:t>
      </w:r>
    </w:p>
    <w:p w:rsidR="005B5E82" w:rsidRDefault="00253F74">
      <w:pPr>
        <w:jc w:val="center"/>
        <w:rPr>
          <w:rFonts w:ascii="M_Times" w:hAnsi="M_Times"/>
          <w:lang w:val="mk-MK"/>
        </w:rPr>
      </w:pPr>
      <w:r>
        <w:rPr>
          <w:rFonts w:ascii="Arial" w:hAnsi="Arial" w:cs="Arial"/>
          <w:sz w:val="22"/>
          <w:szCs w:val="22"/>
          <w:lang w:val="mk-MK"/>
        </w:rPr>
        <w:t>За уредување на градежно земјиште на подрачјето на општина Зрновци за 2024год.</w:t>
      </w:r>
    </w:p>
    <w:p w:rsidR="005B5E82" w:rsidRDefault="00253F74">
      <w:pPr>
        <w:pStyle w:val="BodyText"/>
        <w:ind w:firstLine="720"/>
        <w:rPr>
          <w:rFonts w:ascii="Arial" w:hAnsi="Arial" w:cs="Arial"/>
          <w:sz w:val="22"/>
          <w:szCs w:val="22"/>
          <w:lang w:val="mk-MK"/>
        </w:rPr>
      </w:pPr>
      <w:r>
        <w:rPr>
          <w:rFonts w:ascii="Arial" w:hAnsi="Arial" w:cs="Arial"/>
          <w:sz w:val="22"/>
          <w:szCs w:val="22"/>
          <w:lang w:val="mk-MK"/>
        </w:rPr>
        <w:t xml:space="preserve">Активностите предвидени со оваа </w:t>
      </w:r>
      <w:r>
        <w:rPr>
          <w:rFonts w:ascii="Arial" w:hAnsi="Arial" w:cs="Arial"/>
          <w:sz w:val="22"/>
          <w:szCs w:val="22"/>
          <w:lang w:val="mk-MK"/>
        </w:rPr>
        <w:t>Програма претставуваат континуитет на активностите за уредување на градежно земјиште на територијата на општина Зрновци и се засновува на стручни искуства од минатите години, во спроведувањето на УПС Зрновци, УПС Мородвис и УПС Видовиште.</w:t>
      </w:r>
    </w:p>
    <w:p w:rsidR="005B5E82" w:rsidRDefault="005B5E82">
      <w:pPr>
        <w:pStyle w:val="BodyText"/>
        <w:ind w:firstLine="720"/>
        <w:rPr>
          <w:rFonts w:ascii="Arial" w:hAnsi="Arial" w:cs="Arial"/>
          <w:sz w:val="22"/>
          <w:szCs w:val="22"/>
        </w:rPr>
      </w:pPr>
    </w:p>
    <w:p w:rsidR="005B5E82" w:rsidRDefault="00253F74">
      <w:pPr>
        <w:pStyle w:val="BodyText"/>
        <w:ind w:firstLine="720"/>
        <w:rPr>
          <w:rFonts w:ascii="Arial" w:hAnsi="Arial" w:cs="Arial"/>
          <w:sz w:val="22"/>
          <w:szCs w:val="22"/>
          <w:lang w:val="mk-MK"/>
        </w:rPr>
      </w:pPr>
      <w:r>
        <w:rPr>
          <w:rFonts w:ascii="Arial" w:hAnsi="Arial" w:cs="Arial"/>
          <w:sz w:val="22"/>
          <w:szCs w:val="22"/>
          <w:lang w:val="mk-MK"/>
        </w:rPr>
        <w:t>Урбанистичките п</w:t>
      </w:r>
      <w:r>
        <w:rPr>
          <w:rFonts w:ascii="Arial" w:hAnsi="Arial" w:cs="Arial"/>
          <w:sz w:val="22"/>
          <w:szCs w:val="22"/>
          <w:lang w:val="mk-MK"/>
        </w:rPr>
        <w:t>ланови ДУП и ГУП на Зрновци, УДНМ на Мородвис и Општиот акт за градба во населено место Видовиште престануваат да се применуваат бидејќи УПС Зрновци, УПС Мородвис, и УПС Видовиште се донесени и Советот на Општина Зрновци со одллука ги усвои и истите веке с</w:t>
      </w:r>
      <w:r>
        <w:rPr>
          <w:rFonts w:ascii="Arial" w:hAnsi="Arial" w:cs="Arial"/>
          <w:sz w:val="22"/>
          <w:szCs w:val="22"/>
          <w:lang w:val="mk-MK"/>
        </w:rPr>
        <w:t>е применуваат.</w:t>
      </w:r>
    </w:p>
    <w:p w:rsidR="005B5E82" w:rsidRDefault="00253F74">
      <w:pPr>
        <w:pStyle w:val="BodyText"/>
        <w:ind w:firstLine="720"/>
        <w:rPr>
          <w:rFonts w:ascii="M_Times" w:hAnsi="M_Times"/>
        </w:rPr>
      </w:pPr>
      <w:r>
        <w:rPr>
          <w:rFonts w:ascii="Arial" w:hAnsi="Arial" w:cs="Arial"/>
          <w:sz w:val="22"/>
          <w:szCs w:val="22"/>
          <w:lang w:val="mk-MK"/>
        </w:rPr>
        <w:t>Во програмата утврден е обемот на работата како и средствата за изградба, одржување и реконструкција на комуналната инфраструктура.</w:t>
      </w:r>
    </w:p>
    <w:p w:rsidR="005B5E82" w:rsidRDefault="005B5E82">
      <w:pPr>
        <w:jc w:val="both"/>
        <w:rPr>
          <w:rFonts w:ascii="M_Times" w:hAnsi="M_Times"/>
          <w:lang w:val="en-US"/>
        </w:rPr>
      </w:pPr>
    </w:p>
    <w:p w:rsidR="005B5E82" w:rsidRDefault="00253F74">
      <w:pPr>
        <w:pStyle w:val="Heading2"/>
        <w:numPr>
          <w:ilvl w:val="0"/>
          <w:numId w:val="1"/>
        </w:numPr>
        <w:rPr>
          <w:rFonts w:ascii="M_Times" w:hAnsi="M_Times"/>
          <w:lang w:val="mk-MK"/>
        </w:rPr>
      </w:pPr>
      <w:r>
        <w:rPr>
          <w:rFonts w:ascii="M_Times" w:hAnsi="M_Times"/>
        </w:rPr>
        <w:t>PRAVCI NA DELUVAWE</w:t>
      </w:r>
      <w:r>
        <w:rPr>
          <w:rFonts w:ascii="M_Times" w:hAnsi="M_Times"/>
        </w:rPr>
        <w:tab/>
      </w:r>
    </w:p>
    <w:p w:rsidR="005B5E82" w:rsidRDefault="005B5E82">
      <w:pPr>
        <w:pStyle w:val="BodyText"/>
        <w:ind w:leftChars="91" w:left="218" w:firstLineChars="100" w:firstLine="220"/>
        <w:rPr>
          <w:rFonts w:ascii="Arial" w:hAnsi="Arial" w:cs="Arial"/>
          <w:sz w:val="22"/>
          <w:szCs w:val="22"/>
          <w:lang w:val="mk-MK"/>
        </w:rPr>
      </w:pPr>
    </w:p>
    <w:p w:rsidR="005B5E82" w:rsidRDefault="00253F74">
      <w:pPr>
        <w:pStyle w:val="BodyText"/>
        <w:ind w:leftChars="91" w:left="218" w:firstLineChars="100" w:firstLine="220"/>
        <w:rPr>
          <w:rFonts w:ascii="Arial" w:hAnsi="Arial" w:cs="Arial"/>
          <w:sz w:val="22"/>
          <w:szCs w:val="22"/>
        </w:rPr>
      </w:pPr>
      <w:r>
        <w:rPr>
          <w:rFonts w:ascii="Arial" w:hAnsi="Arial" w:cs="Arial"/>
          <w:sz w:val="22"/>
          <w:szCs w:val="22"/>
          <w:lang w:val="mk-MK"/>
        </w:rPr>
        <w:t>Програмата за уредување на градежното земјиште на подрачјето на општина Зрновци во 2024</w:t>
      </w:r>
      <w:r>
        <w:rPr>
          <w:rFonts w:ascii="Arial" w:hAnsi="Arial" w:cs="Arial"/>
          <w:sz w:val="22"/>
          <w:szCs w:val="22"/>
          <w:lang w:val="mk-MK"/>
        </w:rPr>
        <w:t xml:space="preserve"> год.ги предвидува следните активности</w:t>
      </w:r>
      <w:r>
        <w:rPr>
          <w:rFonts w:ascii="Arial" w:hAnsi="Arial" w:cs="Arial"/>
          <w:sz w:val="22"/>
          <w:szCs w:val="22"/>
        </w:rPr>
        <w:t>:</w:t>
      </w:r>
    </w:p>
    <w:p w:rsidR="005B5E82" w:rsidRDefault="005B5E82">
      <w:pPr>
        <w:pStyle w:val="BodyText"/>
        <w:ind w:leftChars="91" w:left="218" w:firstLineChars="100" w:firstLine="240"/>
        <w:rPr>
          <w:rFonts w:ascii="M_Times" w:hAnsi="M_Times"/>
        </w:rPr>
      </w:pPr>
    </w:p>
    <w:p w:rsidR="005B5E82" w:rsidRDefault="00253F74">
      <w:pPr>
        <w:pStyle w:val="BodyTextIndent"/>
        <w:numPr>
          <w:ilvl w:val="0"/>
          <w:numId w:val="2"/>
        </w:numPr>
        <w:ind w:left="1200"/>
        <w:rPr>
          <w:rFonts w:ascii="Arial" w:hAnsi="Arial" w:cs="Arial"/>
          <w:sz w:val="22"/>
          <w:szCs w:val="22"/>
          <w:lang w:val="mk-MK"/>
        </w:rPr>
      </w:pPr>
      <w:r>
        <w:rPr>
          <w:rFonts w:ascii="Arial" w:hAnsi="Arial" w:cs="Arial"/>
          <w:sz w:val="22"/>
          <w:szCs w:val="22"/>
          <w:lang w:val="mk-MK"/>
        </w:rPr>
        <w:t>Локалитет на кој ке се доделува градежно земјиште</w:t>
      </w:r>
    </w:p>
    <w:p w:rsidR="005B5E82" w:rsidRDefault="00253F74">
      <w:pPr>
        <w:pStyle w:val="BodyTextIndent"/>
        <w:numPr>
          <w:ilvl w:val="0"/>
          <w:numId w:val="2"/>
        </w:numPr>
        <w:ind w:left="1200"/>
        <w:rPr>
          <w:rFonts w:ascii="Arial" w:hAnsi="Arial" w:cs="Arial"/>
          <w:sz w:val="22"/>
          <w:szCs w:val="22"/>
          <w:lang w:val="mk-MK"/>
        </w:rPr>
      </w:pPr>
      <w:r>
        <w:rPr>
          <w:rFonts w:ascii="Arial" w:hAnsi="Arial" w:cs="Arial"/>
          <w:sz w:val="22"/>
          <w:szCs w:val="22"/>
          <w:lang w:val="mk-MK"/>
        </w:rPr>
        <w:t>Обем и степен  на опремување на градежното земјиште со објекти на основната и секундарната инфраструктура</w:t>
      </w:r>
    </w:p>
    <w:p w:rsidR="005B5E82" w:rsidRDefault="00253F74">
      <w:pPr>
        <w:pStyle w:val="BodyTextIndent"/>
        <w:numPr>
          <w:ilvl w:val="0"/>
          <w:numId w:val="2"/>
        </w:numPr>
        <w:ind w:left="1200"/>
        <w:rPr>
          <w:rFonts w:ascii="Arial" w:hAnsi="Arial" w:cs="Arial"/>
          <w:sz w:val="22"/>
          <w:szCs w:val="22"/>
          <w:lang w:val="mk-MK"/>
        </w:rPr>
      </w:pPr>
      <w:r>
        <w:rPr>
          <w:rFonts w:ascii="Arial" w:hAnsi="Arial" w:cs="Arial"/>
          <w:sz w:val="22"/>
          <w:szCs w:val="22"/>
          <w:lang w:val="mk-MK"/>
        </w:rPr>
        <w:t>Висина на надоместок на градежното земјиште</w:t>
      </w:r>
    </w:p>
    <w:p w:rsidR="005B5E82" w:rsidRDefault="00253F74">
      <w:pPr>
        <w:pStyle w:val="BodyTextIndent"/>
        <w:numPr>
          <w:ilvl w:val="0"/>
          <w:numId w:val="2"/>
        </w:numPr>
        <w:ind w:left="1200"/>
        <w:rPr>
          <w:rFonts w:ascii="Arial" w:hAnsi="Arial" w:cs="Arial"/>
          <w:sz w:val="22"/>
          <w:szCs w:val="22"/>
          <w:lang w:val="mk-MK"/>
        </w:rPr>
      </w:pPr>
      <w:r>
        <w:rPr>
          <w:rFonts w:ascii="Arial" w:hAnsi="Arial" w:cs="Arial"/>
          <w:sz w:val="22"/>
          <w:szCs w:val="22"/>
          <w:lang w:val="mk-MK"/>
        </w:rPr>
        <w:t>Експропријација</w:t>
      </w:r>
    </w:p>
    <w:p w:rsidR="005B5E82" w:rsidRDefault="00253F74">
      <w:pPr>
        <w:pStyle w:val="BodyTextIndent"/>
        <w:numPr>
          <w:ilvl w:val="0"/>
          <w:numId w:val="2"/>
        </w:numPr>
        <w:ind w:left="1200"/>
        <w:rPr>
          <w:rFonts w:ascii="Arial" w:hAnsi="Arial" w:cs="Arial"/>
          <w:sz w:val="22"/>
          <w:szCs w:val="22"/>
          <w:lang w:val="mk-MK"/>
        </w:rPr>
      </w:pPr>
      <w:r>
        <w:rPr>
          <w:rFonts w:ascii="Arial" w:hAnsi="Arial" w:cs="Arial"/>
          <w:sz w:val="22"/>
          <w:szCs w:val="22"/>
          <w:lang w:val="mk-MK"/>
        </w:rPr>
        <w:t>Активности</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ab/>
        <w:t>Во зависност од финансиската можност, оваа Програма може да се дополнува со активности кои ќе се превземаат во текот на 2023 година а во моментот не се предвидени.</w:t>
      </w:r>
    </w:p>
    <w:p w:rsidR="005B5E82" w:rsidRDefault="00253F74">
      <w:pPr>
        <w:pStyle w:val="BodyTextIndent"/>
        <w:numPr>
          <w:ilvl w:val="0"/>
          <w:numId w:val="3"/>
        </w:numPr>
        <w:ind w:left="720"/>
        <w:rPr>
          <w:rFonts w:ascii="Arial" w:hAnsi="Arial" w:cs="Arial"/>
          <w:b/>
          <w:bCs/>
          <w:i/>
          <w:iCs/>
          <w:sz w:val="22"/>
          <w:szCs w:val="22"/>
          <w:lang w:val="mk-MK"/>
        </w:rPr>
      </w:pPr>
      <w:r>
        <w:rPr>
          <w:rFonts w:ascii="Arial" w:hAnsi="Arial" w:cs="Arial"/>
          <w:b/>
          <w:bCs/>
          <w:i/>
          <w:iCs/>
          <w:sz w:val="22"/>
          <w:szCs w:val="22"/>
          <w:lang w:val="mk-MK"/>
        </w:rPr>
        <w:t>Локалитети на кои ќе се доделува градежно земјиште и ке се гради</w:t>
      </w:r>
      <w:r>
        <w:rPr>
          <w:rFonts w:ascii="Arial" w:hAnsi="Arial" w:cs="Arial"/>
          <w:b/>
          <w:bCs/>
          <w:i/>
          <w:iCs/>
          <w:sz w:val="22"/>
          <w:szCs w:val="22"/>
        </w:rPr>
        <w:t xml:space="preserve">:A) - </w:t>
      </w:r>
      <w:r>
        <w:rPr>
          <w:rFonts w:ascii="Arial" w:hAnsi="Arial" w:cs="Arial"/>
          <w:b/>
          <w:bCs/>
          <w:i/>
          <w:iCs/>
          <w:sz w:val="22"/>
          <w:szCs w:val="22"/>
          <w:lang w:val="mk-MK"/>
        </w:rPr>
        <w:t>Локалитет</w:t>
      </w:r>
      <w:r>
        <w:rPr>
          <w:rFonts w:ascii="Arial" w:hAnsi="Arial" w:cs="Arial"/>
          <w:b/>
          <w:bCs/>
          <w:i/>
          <w:iCs/>
          <w:sz w:val="22"/>
          <w:szCs w:val="22"/>
          <w:lang w:val="mk-MK"/>
        </w:rPr>
        <w:t xml:space="preserve"> ,,Лозја,,</w:t>
      </w:r>
    </w:p>
    <w:p w:rsidR="005B5E82" w:rsidRDefault="00253F74">
      <w:pPr>
        <w:pStyle w:val="BodyTextIndent"/>
        <w:ind w:left="0"/>
        <w:rPr>
          <w:rFonts w:ascii="Arial" w:hAnsi="Arial" w:cs="Arial"/>
          <w:sz w:val="22"/>
          <w:szCs w:val="22"/>
          <w:lang w:val="mk-MK"/>
        </w:rPr>
      </w:pPr>
      <w:r>
        <w:rPr>
          <w:rFonts w:ascii="Arial" w:hAnsi="Arial" w:cs="Arial"/>
          <w:b/>
          <w:bCs/>
          <w:i/>
          <w:iCs/>
          <w:sz w:val="22"/>
          <w:szCs w:val="22"/>
          <w:lang w:val="mk-MK"/>
        </w:rPr>
        <w:tab/>
      </w:r>
      <w:r>
        <w:rPr>
          <w:rFonts w:ascii="Arial" w:hAnsi="Arial" w:cs="Arial"/>
          <w:sz w:val="22"/>
          <w:szCs w:val="22"/>
          <w:lang w:val="mk-MK"/>
        </w:rPr>
        <w:t>Локации кои ќе бидат доделени во текот на 2024 година на кои ќе се градат индивидуални станбени згради П+1 и П+2</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ab/>
        <w:t>КП 5728/14 ГП 1.17П=221.07м2</w:t>
      </w:r>
      <w:r>
        <w:rPr>
          <w:rFonts w:ascii="Arial" w:hAnsi="Arial" w:cs="Arial"/>
          <w:sz w:val="22"/>
          <w:szCs w:val="22"/>
        </w:rPr>
        <w:t>;</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ab/>
        <w:t xml:space="preserve">-Локалитет ,, </w:t>
      </w:r>
      <w:r>
        <w:rPr>
          <w:rFonts w:ascii="Arial" w:hAnsi="Arial" w:cs="Arial"/>
          <w:b/>
          <w:bCs/>
          <w:sz w:val="22"/>
          <w:szCs w:val="22"/>
          <w:lang w:val="mk-MK"/>
        </w:rPr>
        <w:t>ДАР СОКАК,</w:t>
      </w:r>
      <w:r>
        <w:rPr>
          <w:rFonts w:ascii="Arial" w:hAnsi="Arial" w:cs="Arial"/>
          <w:sz w:val="22"/>
          <w:szCs w:val="22"/>
          <w:lang w:val="mk-MK"/>
        </w:rPr>
        <w:t xml:space="preserve">,Дел од урбан блок 4 и </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ab/>
        <w:t>-Локалитет,,СРЕДОРЕК,,Дел од урбан блок 17</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 xml:space="preserve">На </w:t>
      </w:r>
      <w:r>
        <w:rPr>
          <w:rFonts w:ascii="Arial" w:hAnsi="Arial" w:cs="Arial"/>
          <w:sz w:val="22"/>
          <w:szCs w:val="22"/>
          <w:lang w:val="mk-MK"/>
        </w:rPr>
        <w:t>Локалитет,</w:t>
      </w:r>
      <w:r>
        <w:rPr>
          <w:rFonts w:ascii="Arial" w:hAnsi="Arial" w:cs="Arial"/>
          <w:b/>
          <w:bCs/>
          <w:sz w:val="22"/>
          <w:szCs w:val="22"/>
          <w:lang w:val="mk-MK"/>
        </w:rPr>
        <w:t>,ДАР СОКАК,</w:t>
      </w:r>
      <w:r>
        <w:rPr>
          <w:rFonts w:ascii="Arial" w:hAnsi="Arial" w:cs="Arial"/>
          <w:sz w:val="22"/>
          <w:szCs w:val="22"/>
          <w:lang w:val="mk-MK"/>
        </w:rPr>
        <w:t>, Дел од урбан блок4 ке се отугуваат следните Градежни парцели ГП 1.115 КП 3532/16 ГП 1.12 КП 3532/13 И ГП 1.4 КП 3532/5 и Локалитет ,,</w:t>
      </w:r>
      <w:r>
        <w:rPr>
          <w:rFonts w:ascii="Arial" w:hAnsi="Arial" w:cs="Arial"/>
          <w:b/>
          <w:bCs/>
          <w:sz w:val="22"/>
          <w:szCs w:val="22"/>
          <w:lang w:val="mk-MK"/>
        </w:rPr>
        <w:t>СРЕДОРЕК,,</w:t>
      </w:r>
      <w:r>
        <w:rPr>
          <w:rFonts w:ascii="Arial" w:hAnsi="Arial" w:cs="Arial"/>
          <w:sz w:val="22"/>
          <w:szCs w:val="22"/>
          <w:lang w:val="mk-MK"/>
        </w:rPr>
        <w:t>Дел од урбан блок 17 ГП 1.4 КП 4812/3, ГП 1.5КП 4812/4, ГП 1.6 КП 4812/5 КП 4810/1 КП 4809</w:t>
      </w:r>
      <w:r>
        <w:rPr>
          <w:rFonts w:ascii="Arial" w:hAnsi="Arial" w:cs="Arial"/>
          <w:sz w:val="22"/>
          <w:szCs w:val="22"/>
          <w:lang w:val="mk-MK"/>
        </w:rPr>
        <w:t xml:space="preserve"> КП 4808, И ГП 1.7 КП 4812/6 КП 4810/2, КП4811,</w:t>
      </w:r>
    </w:p>
    <w:p w:rsidR="005B5E82" w:rsidRDefault="00253F74">
      <w:pPr>
        <w:pStyle w:val="BodyTextIndent"/>
        <w:ind w:left="0"/>
        <w:rPr>
          <w:rFonts w:ascii="Arial" w:hAnsi="Arial" w:cs="Arial"/>
          <w:b/>
          <w:bCs/>
          <w:sz w:val="22"/>
          <w:szCs w:val="22"/>
          <w:lang w:val="mk-MK"/>
        </w:rPr>
      </w:pPr>
      <w:r>
        <w:rPr>
          <w:rFonts w:ascii="Arial" w:hAnsi="Arial" w:cs="Arial"/>
          <w:sz w:val="22"/>
          <w:szCs w:val="22"/>
          <w:lang w:val="mk-MK"/>
        </w:rPr>
        <w:tab/>
      </w:r>
      <w:r>
        <w:rPr>
          <w:rFonts w:ascii="Arial" w:hAnsi="Arial" w:cs="Arial"/>
          <w:b/>
          <w:bCs/>
          <w:sz w:val="22"/>
          <w:szCs w:val="22"/>
          <w:lang w:val="mk-MK"/>
        </w:rPr>
        <w:t>Б) Зона за мало стопанство</w:t>
      </w:r>
    </w:p>
    <w:p w:rsidR="005B5E82" w:rsidRDefault="00253F74">
      <w:pPr>
        <w:pStyle w:val="BodyTextIndent"/>
        <w:ind w:left="0"/>
        <w:rPr>
          <w:rFonts w:ascii="Arial" w:hAnsi="Arial" w:cs="Arial"/>
          <w:sz w:val="22"/>
          <w:szCs w:val="22"/>
          <w:lang w:val="mk-MK"/>
        </w:rPr>
      </w:pPr>
      <w:r>
        <w:rPr>
          <w:rFonts w:ascii="Arial" w:hAnsi="Arial" w:cs="Arial"/>
          <w:b/>
          <w:bCs/>
          <w:sz w:val="22"/>
          <w:szCs w:val="22"/>
          <w:lang w:val="mk-MK"/>
        </w:rPr>
        <w:tab/>
      </w:r>
      <w:r>
        <w:rPr>
          <w:rFonts w:ascii="Arial" w:hAnsi="Arial" w:cs="Arial"/>
          <w:b/>
          <w:bCs/>
          <w:sz w:val="22"/>
          <w:szCs w:val="22"/>
          <w:lang w:val="mk-MK"/>
        </w:rPr>
        <w:tab/>
      </w:r>
      <w:r>
        <w:rPr>
          <w:rFonts w:ascii="Arial" w:hAnsi="Arial" w:cs="Arial"/>
          <w:sz w:val="22"/>
          <w:szCs w:val="22"/>
          <w:lang w:val="mk-MK"/>
        </w:rPr>
        <w:t>КП бр.5584/10 ГП1.08</w:t>
      </w:r>
      <w:r>
        <w:rPr>
          <w:rFonts w:ascii="Arial" w:hAnsi="Arial" w:cs="Arial"/>
          <w:sz w:val="22"/>
          <w:szCs w:val="22"/>
        </w:rPr>
        <w:t>;</w:t>
      </w:r>
    </w:p>
    <w:p w:rsidR="005B5E82" w:rsidRDefault="00253F74">
      <w:pPr>
        <w:pStyle w:val="BodyTextIndent"/>
        <w:ind w:left="0"/>
        <w:rPr>
          <w:rFonts w:ascii="Arial" w:hAnsi="Arial" w:cs="Arial"/>
          <w:b/>
          <w:bCs/>
          <w:sz w:val="22"/>
          <w:szCs w:val="22"/>
          <w:lang w:val="mk-MK"/>
        </w:rPr>
      </w:pPr>
      <w:r>
        <w:rPr>
          <w:rFonts w:ascii="Arial" w:hAnsi="Arial" w:cs="Arial"/>
          <w:sz w:val="22"/>
          <w:szCs w:val="22"/>
          <w:lang w:val="mk-MK"/>
        </w:rPr>
        <w:lastRenderedPageBreak/>
        <w:tab/>
      </w:r>
      <w:r>
        <w:rPr>
          <w:rFonts w:ascii="Arial" w:hAnsi="Arial" w:cs="Arial"/>
          <w:b/>
          <w:bCs/>
          <w:sz w:val="22"/>
          <w:szCs w:val="22"/>
          <w:lang w:val="mk-MK"/>
        </w:rPr>
        <w:t>В) Исто така со програмата се предвидува</w:t>
      </w:r>
      <w:r>
        <w:rPr>
          <w:rFonts w:ascii="Arial" w:hAnsi="Arial" w:cs="Arial"/>
          <w:b/>
          <w:bCs/>
          <w:sz w:val="22"/>
          <w:szCs w:val="22"/>
        </w:rPr>
        <w:t>:</w:t>
      </w:r>
    </w:p>
    <w:p w:rsidR="005B5E82" w:rsidRDefault="005B5E82">
      <w:pPr>
        <w:pStyle w:val="BodyTextIndent"/>
        <w:ind w:left="0"/>
        <w:rPr>
          <w:rFonts w:ascii="Arial" w:hAnsi="Arial" w:cs="Arial"/>
          <w:b/>
          <w:bCs/>
          <w:sz w:val="22"/>
          <w:szCs w:val="22"/>
          <w:lang w:val="mk-MK"/>
        </w:rPr>
      </w:pP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-Изградба на резервоар за водоснабдување во село Видовиште финансиска конструкција 1.700.000,00 денари, обезбеде</w:t>
      </w:r>
      <w:r>
        <w:rPr>
          <w:rFonts w:ascii="Arial" w:hAnsi="Arial" w:cs="Arial"/>
          <w:sz w:val="22"/>
          <w:szCs w:val="22"/>
          <w:lang w:val="mk-MK"/>
        </w:rPr>
        <w:t>ни средства од сопствен буџет.</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-Доградба и реконструкција на ОУ Синиша Стоилов - Зрновци финансиска конструкција 4.928.012,00 денари, планиран за аплицирање и реализирање со погранична соработка.</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-Потпорен ѕид на училишен двор ОУ Синиша Стоилов Зрновци, 5.</w:t>
      </w:r>
      <w:r>
        <w:rPr>
          <w:rFonts w:ascii="Arial" w:hAnsi="Arial" w:cs="Arial"/>
          <w:sz w:val="22"/>
          <w:szCs w:val="22"/>
          <w:lang w:val="mk-MK"/>
        </w:rPr>
        <w:t>500.000,00 денари аплициран во МИО на повик во 2022 година,</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-Реконструкција и осовременување на повеќенаменско училишно спортско игралиште во с.Мородвис финансиска конструкција 6.534.094,00 денари, започнати форумски сесии преку ИПР.</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-Изградба пешачка пате</w:t>
      </w:r>
      <w:r>
        <w:rPr>
          <w:rFonts w:ascii="Arial" w:hAnsi="Arial" w:cs="Arial"/>
          <w:sz w:val="22"/>
          <w:szCs w:val="22"/>
          <w:lang w:val="mk-MK"/>
        </w:rPr>
        <w:t>ка на улица Илинденска Зрновци, 5.633.202,00 денари ке се аплицира во Биро за рамномерен развој</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-Изградба на армирано бетонска преграда - зафат на Морошка река во село Мородвис финансиска конструкција 2.130.000,00 денари ке се аплицира во МЖС - Сектори вод</w:t>
      </w:r>
      <w:r>
        <w:rPr>
          <w:rFonts w:ascii="Arial" w:hAnsi="Arial" w:cs="Arial"/>
          <w:sz w:val="22"/>
          <w:szCs w:val="22"/>
          <w:lang w:val="mk-MK"/>
        </w:rPr>
        <w:t>и</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-Изградба на регулација на речното корито на река Зрновка од соколаната до Хидроцентралата во должина од 150 метра,</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-Изградба на оградаа на кејот на река Зрновка во централното јадро</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-Бетонирање на вада од кај Грчило па се до Дивата топола</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-Бетонирање на</w:t>
      </w:r>
      <w:r>
        <w:rPr>
          <w:rFonts w:ascii="Arial" w:hAnsi="Arial" w:cs="Arial"/>
          <w:sz w:val="22"/>
          <w:szCs w:val="22"/>
          <w:lang w:val="mk-MK"/>
        </w:rPr>
        <w:t xml:space="preserve"> земјена вада од кај крушката до м.в.Црквиште</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-Изградба на споменик на бранителите</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-Изградба на 5 летниковци во Зрновци, Мородвис и Видовиште</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-Изградба на скејт парк на постоечко фудбалско играчиште во с.Видовиште</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-Изградба на велосипедска патека од м.в.Це</w:t>
      </w:r>
      <w:r>
        <w:rPr>
          <w:rFonts w:ascii="Arial" w:hAnsi="Arial" w:cs="Arial"/>
          <w:sz w:val="22"/>
          <w:szCs w:val="22"/>
          <w:lang w:val="mk-MK"/>
        </w:rPr>
        <w:t>нтрала Зрновци - Манастир св.Симеон Мородвис</w:t>
      </w:r>
    </w:p>
    <w:p w:rsidR="005B5E82" w:rsidRDefault="005B5E82">
      <w:pPr>
        <w:pStyle w:val="BodyTextIndent"/>
        <w:ind w:left="0"/>
        <w:rPr>
          <w:rFonts w:ascii="Arial" w:hAnsi="Arial" w:cs="Arial"/>
          <w:sz w:val="22"/>
          <w:szCs w:val="22"/>
          <w:lang w:val="mk-MK"/>
        </w:rPr>
      </w:pPr>
    </w:p>
    <w:p w:rsidR="005B5E82" w:rsidRDefault="00253F74">
      <w:pPr>
        <w:pStyle w:val="BodyTextIndent"/>
        <w:ind w:left="0"/>
        <w:rPr>
          <w:rFonts w:ascii="Arial" w:hAnsi="Arial" w:cs="Arial"/>
          <w:sz w:val="22"/>
          <w:szCs w:val="22"/>
          <w:lang w:val="mk-MK"/>
        </w:rPr>
      </w:pPr>
      <w:r>
        <w:rPr>
          <w:rFonts w:ascii="Arial" w:hAnsi="Arial" w:cs="Arial"/>
          <w:b/>
          <w:bCs/>
          <w:sz w:val="22"/>
          <w:szCs w:val="22"/>
          <w:lang w:val="mk-MK"/>
        </w:rPr>
        <w:t xml:space="preserve">Предмет на доделување со непосредна спогодба ќе биде и </w:t>
      </w:r>
      <w:r>
        <w:rPr>
          <w:rFonts w:ascii="Arial" w:hAnsi="Arial" w:cs="Arial"/>
          <w:b/>
          <w:bCs/>
          <w:sz w:val="22"/>
          <w:szCs w:val="22"/>
        </w:rPr>
        <w:t>:</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-Градежно земјиште (узурпирано или дадено) на кое се изградени објекти без градежни дозвола, акои се вклопени во УПС на Зрновци, УПС на Мородвис и на УПС</w:t>
      </w:r>
      <w:r>
        <w:rPr>
          <w:rFonts w:ascii="Arial" w:hAnsi="Arial" w:cs="Arial"/>
          <w:sz w:val="22"/>
          <w:szCs w:val="22"/>
          <w:lang w:val="mk-MK"/>
        </w:rPr>
        <w:t xml:space="preserve"> на с.Видовиште.Ова градежно земјиште ќе биде доделено откако претходно ќе бидат легализирани објектите на предметното земјиште согласно Законот за поставување со бесправно изградени објекти (,,Сл.весник на Република Македонија бр.23/11,54/11,155/12,72/13,</w:t>
      </w:r>
      <w:r>
        <w:rPr>
          <w:rFonts w:ascii="Arial" w:hAnsi="Arial" w:cs="Arial"/>
          <w:sz w:val="22"/>
          <w:szCs w:val="22"/>
          <w:lang w:val="mk-MK"/>
        </w:rPr>
        <w:t>44/14,155/14,199/14,124/15 и 129/15).</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-Отуѓување на градежно земјиште сопственост на Република Северна Македонија со непосредна спогодба за оформување на градежна парцела предвидена со урбанистички план или урбанистичка планска документација, алицето или в</w:t>
      </w:r>
      <w:r>
        <w:rPr>
          <w:rFonts w:ascii="Arial" w:hAnsi="Arial" w:cs="Arial"/>
          <w:sz w:val="22"/>
          <w:szCs w:val="22"/>
          <w:lang w:val="mk-MK"/>
        </w:rPr>
        <w:t>о сопственост повеќе од 3</w:t>
      </w:r>
      <w:r>
        <w:rPr>
          <w:rFonts w:ascii="Arial" w:hAnsi="Arial" w:cs="Arial"/>
          <w:sz w:val="22"/>
          <w:szCs w:val="22"/>
        </w:rPr>
        <w:t>0%</w:t>
      </w:r>
      <w:r>
        <w:rPr>
          <w:rFonts w:ascii="Arial" w:hAnsi="Arial" w:cs="Arial"/>
          <w:sz w:val="22"/>
          <w:szCs w:val="22"/>
          <w:lang w:val="mk-MK"/>
        </w:rPr>
        <w:t>.</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 xml:space="preserve">-Отуѓување на градежно земјиште сопственост на Република Северна Македонија на сопствениците на објекти или посебни делови од објекти изградени со градежно - техничка документација и запишани во јавната книга за запишување на </w:t>
      </w:r>
      <w:r>
        <w:rPr>
          <w:rFonts w:ascii="Arial" w:hAnsi="Arial" w:cs="Arial"/>
          <w:sz w:val="22"/>
          <w:szCs w:val="22"/>
          <w:lang w:val="mk-MK"/>
        </w:rPr>
        <w:t>правата на недвижностите, кои не поседуваат акт за доделување на правото на користење на градежното земјиште.</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2.Обем и степен на опремување на градеѓното земјиште со објекти на основата и секундарната инфраструктура</w:t>
      </w:r>
    </w:p>
    <w:p w:rsidR="005B5E82" w:rsidRDefault="00253F74">
      <w:pPr>
        <w:pStyle w:val="BodyTextIndent"/>
        <w:ind w:left="0"/>
        <w:rPr>
          <w:rFonts w:ascii="Arial" w:hAnsi="Arial" w:cs="Arial"/>
          <w:b/>
          <w:bCs/>
          <w:sz w:val="22"/>
          <w:szCs w:val="22"/>
          <w:lang w:val="mk-MK"/>
        </w:rPr>
      </w:pPr>
      <w:r>
        <w:rPr>
          <w:rFonts w:ascii="Arial" w:hAnsi="Arial" w:cs="Arial"/>
          <w:sz w:val="22"/>
          <w:szCs w:val="22"/>
          <w:lang w:val="mk-MK"/>
        </w:rPr>
        <w:t xml:space="preserve">2-1 </w:t>
      </w:r>
      <w:r>
        <w:rPr>
          <w:rFonts w:ascii="Arial" w:hAnsi="Arial" w:cs="Arial"/>
          <w:b/>
          <w:bCs/>
          <w:sz w:val="22"/>
          <w:szCs w:val="22"/>
          <w:lang w:val="mk-MK"/>
        </w:rPr>
        <w:t>Основен степен на уреденост на граде</w:t>
      </w:r>
      <w:r>
        <w:rPr>
          <w:rFonts w:ascii="Arial" w:hAnsi="Arial" w:cs="Arial"/>
          <w:b/>
          <w:bCs/>
          <w:sz w:val="22"/>
          <w:szCs w:val="22"/>
          <w:lang w:val="mk-MK"/>
        </w:rPr>
        <w:t>жното земјиште опфаќа</w:t>
      </w:r>
    </w:p>
    <w:p w:rsidR="005B5E82" w:rsidRDefault="005B5E82">
      <w:pPr>
        <w:pStyle w:val="BodyTextIndent"/>
        <w:ind w:left="0"/>
        <w:rPr>
          <w:rFonts w:ascii="Arial" w:hAnsi="Arial" w:cs="Arial"/>
          <w:b/>
          <w:bCs/>
          <w:sz w:val="22"/>
          <w:szCs w:val="22"/>
          <w:lang w:val="mk-MK"/>
        </w:rPr>
      </w:pP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-Непречен пристап до градежната парцела од јавен пат и улица, пешачка патека и други површини согласно урбанистички планови</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-Водоводна мрежа</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-Фекална и канализациона мрежа</w:t>
      </w:r>
    </w:p>
    <w:p w:rsidR="005B5E82" w:rsidRDefault="005B5E82">
      <w:pPr>
        <w:pStyle w:val="BodyTextIndent"/>
        <w:ind w:left="0"/>
        <w:rPr>
          <w:rFonts w:ascii="Arial" w:hAnsi="Arial" w:cs="Arial"/>
          <w:sz w:val="22"/>
          <w:szCs w:val="22"/>
          <w:lang w:val="mk-MK"/>
        </w:rPr>
      </w:pPr>
    </w:p>
    <w:p w:rsidR="005B5E82" w:rsidRDefault="00253F74">
      <w:pPr>
        <w:pStyle w:val="BodyTextIndent"/>
        <w:ind w:left="0"/>
        <w:rPr>
          <w:rFonts w:ascii="Arial" w:hAnsi="Arial" w:cs="Arial"/>
          <w:sz w:val="22"/>
          <w:szCs w:val="22"/>
          <w:lang w:val="mk-MK"/>
        </w:rPr>
      </w:pPr>
      <w:r>
        <w:rPr>
          <w:rFonts w:ascii="Arial" w:hAnsi="Arial" w:cs="Arial"/>
          <w:sz w:val="22"/>
          <w:szCs w:val="22"/>
          <w:lang w:val="mk-MK"/>
        </w:rPr>
        <w:lastRenderedPageBreak/>
        <w:t>2-2 Повисок степен на Уреденост на градежното земјиште ги оп</w:t>
      </w:r>
      <w:r>
        <w:rPr>
          <w:rFonts w:ascii="Arial" w:hAnsi="Arial" w:cs="Arial"/>
          <w:sz w:val="22"/>
          <w:szCs w:val="22"/>
          <w:lang w:val="mk-MK"/>
        </w:rPr>
        <w:t>фаќа објектите од</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3-1 класа</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-ППТ (оптичка - телекомуникациона) мрежа</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-Топлификациона мрежа</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 xml:space="preserve">-Паркинг простори и </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-Пречистителна станица за отпадни води</w:t>
      </w:r>
    </w:p>
    <w:p w:rsidR="005B5E82" w:rsidRDefault="005B5E82">
      <w:pPr>
        <w:pStyle w:val="BodyTextIndent"/>
        <w:ind w:left="0"/>
        <w:rPr>
          <w:rFonts w:ascii="Arial" w:hAnsi="Arial" w:cs="Arial"/>
          <w:sz w:val="22"/>
          <w:szCs w:val="22"/>
          <w:lang w:val="mk-MK"/>
        </w:rPr>
      </w:pPr>
    </w:p>
    <w:p w:rsidR="005B5E82" w:rsidRDefault="00253F74">
      <w:pPr>
        <w:pStyle w:val="BodyTextIndent"/>
        <w:ind w:left="0"/>
        <w:rPr>
          <w:rFonts w:ascii="Arial" w:hAnsi="Arial" w:cs="Arial"/>
          <w:sz w:val="22"/>
          <w:szCs w:val="22"/>
          <w:lang w:val="mk-MK"/>
        </w:rPr>
      </w:pPr>
      <w:r>
        <w:rPr>
          <w:rFonts w:ascii="Arial" w:hAnsi="Arial" w:cs="Arial"/>
          <w:sz w:val="22"/>
          <w:szCs w:val="22"/>
          <w:lang w:val="mk-MK"/>
        </w:rPr>
        <w:t>2-3 Понизок степен на урреденост на градежното земјиште опфаќа</w:t>
      </w:r>
      <w:r>
        <w:rPr>
          <w:rFonts w:ascii="Arial" w:hAnsi="Arial" w:cs="Arial"/>
          <w:sz w:val="22"/>
          <w:szCs w:val="22"/>
        </w:rPr>
        <w:t>:</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 xml:space="preserve">     -Непречен пристап до градежната пар</w:t>
      </w:r>
      <w:r>
        <w:rPr>
          <w:rFonts w:ascii="Arial" w:hAnsi="Arial" w:cs="Arial"/>
          <w:sz w:val="22"/>
          <w:szCs w:val="22"/>
          <w:lang w:val="mk-MK"/>
        </w:rPr>
        <w:t xml:space="preserve">цела од некатегоризиран јавен пат </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 xml:space="preserve">     -Сопствено водоснабдување(нема приклучок на водоводна мрежа)</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 xml:space="preserve">     -Сопствена јама (нема приклучок на фекална канализација) и </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 xml:space="preserve">     -нестандардно улично осветлување</w:t>
      </w:r>
    </w:p>
    <w:p w:rsidR="005B5E82" w:rsidRDefault="00253F74">
      <w:pPr>
        <w:pStyle w:val="BodyTextIndent"/>
        <w:numPr>
          <w:ilvl w:val="0"/>
          <w:numId w:val="4"/>
        </w:numPr>
        <w:rPr>
          <w:rFonts w:ascii="Arial" w:hAnsi="Arial" w:cs="Arial"/>
          <w:sz w:val="22"/>
          <w:szCs w:val="22"/>
          <w:lang w:val="mk-MK"/>
        </w:rPr>
      </w:pPr>
      <w:r>
        <w:rPr>
          <w:rFonts w:ascii="Arial" w:hAnsi="Arial" w:cs="Arial"/>
          <w:b/>
          <w:bCs/>
          <w:sz w:val="22"/>
          <w:szCs w:val="22"/>
          <w:lang w:val="mk-MK"/>
        </w:rPr>
        <w:t xml:space="preserve">Висина на надоместокот за уредување на градежно </w:t>
      </w:r>
      <w:r>
        <w:rPr>
          <w:rFonts w:ascii="Arial" w:hAnsi="Arial" w:cs="Arial"/>
          <w:b/>
          <w:bCs/>
          <w:sz w:val="22"/>
          <w:szCs w:val="22"/>
          <w:lang w:val="mk-MK"/>
        </w:rPr>
        <w:t>земјиште</w:t>
      </w:r>
    </w:p>
    <w:p w:rsidR="005B5E82" w:rsidRDefault="00253F74">
      <w:pPr>
        <w:pStyle w:val="BodyTextIndent"/>
        <w:ind w:left="0"/>
        <w:rPr>
          <w:rFonts w:ascii="Arial" w:hAnsi="Arial" w:cs="Arial"/>
          <w:sz w:val="22"/>
          <w:szCs w:val="22"/>
        </w:rPr>
      </w:pPr>
      <w:r>
        <w:rPr>
          <w:rFonts w:ascii="Arial" w:hAnsi="Arial" w:cs="Arial"/>
          <w:sz w:val="22"/>
          <w:szCs w:val="22"/>
          <w:lang w:val="mk-MK"/>
        </w:rPr>
        <w:t xml:space="preserve"> За населено место Зрновци</w:t>
      </w:r>
      <w:r>
        <w:rPr>
          <w:rFonts w:ascii="Arial" w:hAnsi="Arial" w:cs="Arial"/>
          <w:sz w:val="22"/>
          <w:szCs w:val="22"/>
        </w:rPr>
        <w:t>:</w:t>
      </w:r>
    </w:p>
    <w:p w:rsidR="005B5E82" w:rsidRDefault="00253F74">
      <w:pPr>
        <w:pStyle w:val="BodyTextIndent"/>
        <w:ind w:left="0"/>
        <w:rPr>
          <w:rFonts w:ascii="Arial" w:hAnsi="Arial" w:cs="Arial"/>
          <w:b/>
          <w:bCs/>
          <w:sz w:val="22"/>
          <w:szCs w:val="22"/>
          <w:lang w:val="mk-MK"/>
        </w:rPr>
      </w:pPr>
      <w:r>
        <w:rPr>
          <w:rFonts w:ascii="Arial" w:hAnsi="Arial" w:cs="Arial"/>
          <w:sz w:val="22"/>
          <w:szCs w:val="22"/>
          <w:lang w:val="mk-MK"/>
        </w:rPr>
        <w:t xml:space="preserve">            а)</w:t>
      </w:r>
      <w:r>
        <w:rPr>
          <w:rFonts w:ascii="Arial" w:hAnsi="Arial" w:cs="Arial"/>
          <w:b/>
          <w:bCs/>
          <w:sz w:val="22"/>
          <w:szCs w:val="22"/>
          <w:lang w:val="mk-MK"/>
        </w:rPr>
        <w:t>Индивидуални и колективни стамбени згради прва зона 14 евра/м2</w:t>
      </w:r>
    </w:p>
    <w:p w:rsidR="005B5E82" w:rsidRDefault="00253F74">
      <w:pPr>
        <w:pStyle w:val="BodyTextIndent"/>
        <w:ind w:left="0"/>
        <w:rPr>
          <w:rFonts w:ascii="Arial" w:hAnsi="Arial" w:cs="Arial"/>
          <w:b/>
          <w:bCs/>
          <w:sz w:val="22"/>
          <w:szCs w:val="22"/>
          <w:lang w:val="mk-MK"/>
        </w:rPr>
      </w:pPr>
      <w:r>
        <w:rPr>
          <w:rFonts w:ascii="Arial" w:hAnsi="Arial" w:cs="Arial"/>
          <w:b/>
          <w:bCs/>
          <w:sz w:val="22"/>
          <w:szCs w:val="22"/>
          <w:lang w:val="mk-MK"/>
        </w:rPr>
        <w:t xml:space="preserve">            б)Индивидуални и колективни стамбени згради втора зона 10 свре/м2</w:t>
      </w:r>
    </w:p>
    <w:p w:rsidR="005B5E82" w:rsidRDefault="00253F74">
      <w:pPr>
        <w:pStyle w:val="BodyTextIndent"/>
        <w:ind w:left="0"/>
        <w:rPr>
          <w:rFonts w:ascii="Arial" w:hAnsi="Arial" w:cs="Arial"/>
          <w:b/>
          <w:bCs/>
          <w:sz w:val="22"/>
          <w:szCs w:val="22"/>
          <w:lang w:val="mk-MK"/>
        </w:rPr>
      </w:pPr>
      <w:r>
        <w:rPr>
          <w:rFonts w:ascii="Arial" w:hAnsi="Arial" w:cs="Arial"/>
          <w:b/>
          <w:bCs/>
          <w:sz w:val="22"/>
          <w:szCs w:val="22"/>
          <w:lang w:val="mk-MK"/>
        </w:rPr>
        <w:t xml:space="preserve">            в)Индустриски и производни објекти 10евра/м2</w:t>
      </w:r>
    </w:p>
    <w:p w:rsidR="005B5E82" w:rsidRDefault="00253F74">
      <w:pPr>
        <w:pStyle w:val="BodyTextIndent"/>
        <w:ind w:left="0"/>
        <w:rPr>
          <w:rFonts w:ascii="Arial" w:hAnsi="Arial" w:cs="Arial"/>
          <w:b/>
          <w:bCs/>
          <w:sz w:val="22"/>
          <w:szCs w:val="22"/>
          <w:lang w:val="mk-MK"/>
        </w:rPr>
      </w:pPr>
      <w:r>
        <w:rPr>
          <w:rFonts w:ascii="Arial" w:hAnsi="Arial" w:cs="Arial"/>
          <w:b/>
          <w:bCs/>
          <w:sz w:val="22"/>
          <w:szCs w:val="22"/>
          <w:lang w:val="mk-MK"/>
        </w:rPr>
        <w:t xml:space="preserve">       </w:t>
      </w:r>
      <w:r>
        <w:rPr>
          <w:rFonts w:ascii="Arial" w:hAnsi="Arial" w:cs="Arial"/>
          <w:b/>
          <w:bCs/>
          <w:sz w:val="22"/>
          <w:szCs w:val="22"/>
          <w:lang w:val="mk-MK"/>
        </w:rPr>
        <w:t xml:space="preserve">      г)Селско-стопански објекти 3 евра/м2</w:t>
      </w:r>
    </w:p>
    <w:p w:rsidR="005B5E82" w:rsidRDefault="00253F74">
      <w:pPr>
        <w:pStyle w:val="BodyTextIndent"/>
        <w:ind w:left="0"/>
        <w:rPr>
          <w:rFonts w:ascii="Arial" w:hAnsi="Arial" w:cs="Arial"/>
          <w:sz w:val="22"/>
          <w:szCs w:val="22"/>
          <w:lang w:val="mk-MK"/>
        </w:rPr>
      </w:pPr>
      <w:r>
        <w:rPr>
          <w:rFonts w:ascii="Arial" w:hAnsi="Arial" w:cs="Arial"/>
          <w:sz w:val="22"/>
          <w:szCs w:val="22"/>
          <w:lang w:val="mk-MK"/>
        </w:rPr>
        <w:t>Висината на надоместокот за уредување на градежно земјиште за Мородвис и Видовиште изнесува 50% од цената предвидена под б),в),г), и д) за с.Зрновци.</w:t>
      </w:r>
    </w:p>
    <w:p w:rsidR="005B5E82" w:rsidRDefault="00253F74">
      <w:pPr>
        <w:pStyle w:val="BodyTextIndent"/>
        <w:ind w:left="0"/>
        <w:rPr>
          <w:rFonts w:ascii="M_Times" w:hAnsi="M_Times"/>
        </w:rPr>
      </w:pPr>
      <w:r>
        <w:rPr>
          <w:rFonts w:ascii="Arial" w:hAnsi="Arial" w:cs="Arial"/>
          <w:sz w:val="22"/>
          <w:szCs w:val="22"/>
          <w:lang w:val="mk-MK"/>
        </w:rPr>
        <w:t xml:space="preserve">Надоместокот за уредување на градежното земјиште ќе се наплаќа </w:t>
      </w:r>
      <w:r>
        <w:rPr>
          <w:rFonts w:ascii="Arial" w:hAnsi="Arial" w:cs="Arial"/>
          <w:sz w:val="22"/>
          <w:szCs w:val="22"/>
          <w:lang w:val="mk-MK"/>
        </w:rPr>
        <w:t>во зависност од видот на објектот и од степенот на уреденоста на градежното земјиште или планираниот степен на уреденост на градежното земјиште а за нето развиена градеѓна површина.Пресметувањето на корисната површина е согласно техничките нормативи и прав</w:t>
      </w:r>
      <w:r>
        <w:rPr>
          <w:rFonts w:ascii="Arial" w:hAnsi="Arial" w:cs="Arial"/>
          <w:sz w:val="22"/>
          <w:szCs w:val="22"/>
          <w:lang w:val="mk-MK"/>
        </w:rPr>
        <w:t>илникот за степеност на уредување на градежното земјиште(Сл.Весник на РМ бр.193/2016.</w:t>
      </w:r>
    </w:p>
    <w:p w:rsidR="005B5E82" w:rsidRDefault="005B5E82">
      <w:pPr>
        <w:jc w:val="both"/>
        <w:rPr>
          <w:rFonts w:ascii="Calibri" w:hAnsi="Calibri" w:cs="Calibri"/>
          <w:lang w:val="en-US"/>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5352"/>
        <w:gridCol w:w="2728"/>
      </w:tblGrid>
      <w:tr w:rsidR="005B5E82">
        <w:tc>
          <w:tcPr>
            <w:tcW w:w="9551" w:type="dxa"/>
            <w:gridSpan w:val="3"/>
            <w:tcBorders>
              <w:top w:val="single" w:sz="4" w:space="0" w:color="auto"/>
              <w:left w:val="single" w:sz="4" w:space="0" w:color="auto"/>
              <w:bottom w:val="single" w:sz="4" w:space="0" w:color="auto"/>
              <w:right w:val="single" w:sz="4" w:space="0" w:color="auto"/>
            </w:tcBorders>
            <w:noWrap/>
          </w:tcPr>
          <w:p w:rsidR="005B5E82" w:rsidRDefault="00253F74">
            <w:pPr>
              <w:pStyle w:val="Default"/>
              <w:spacing w:before="20" w:after="20"/>
              <w:jc w:val="center"/>
              <w:rPr>
                <w:rFonts w:ascii="Calibri" w:hAnsi="Calibri"/>
                <w:sz w:val="22"/>
                <w:szCs w:val="22"/>
              </w:rPr>
            </w:pPr>
            <w:r>
              <w:rPr>
                <w:rFonts w:ascii="Times New Roman" w:hAnsi="Times New Roman" w:cs="Times New Roman"/>
                <w:b/>
                <w:bCs/>
                <w:color w:val="CCFFFF"/>
                <w:sz w:val="22"/>
                <w:szCs w:val="22"/>
                <w:lang w:val="ru-RU"/>
              </w:rPr>
              <w:t xml:space="preserve">. </w:t>
            </w:r>
            <w:r>
              <w:rPr>
                <w:rFonts w:ascii="TTE1B85C78t00" w:hAnsi="TTE1B85C78t00" w:cs="TTE1B85C78t00"/>
                <w:sz w:val="22"/>
                <w:szCs w:val="22"/>
                <w:lang w:val="ru-RU"/>
              </w:rPr>
              <w:t>Градеже</w:t>
            </w:r>
            <w:r>
              <w:rPr>
                <w:sz w:val="22"/>
                <w:szCs w:val="22"/>
                <w:lang w:val="ru-RU"/>
              </w:rPr>
              <w:t xml:space="preserve">н </w:t>
            </w:r>
            <w:r>
              <w:rPr>
                <w:rFonts w:ascii="TTE1B85C78t00" w:hAnsi="TTE1B85C78t00" w:cs="TTE1B85C78t00"/>
                <w:sz w:val="22"/>
                <w:szCs w:val="22"/>
                <w:lang w:val="ru-RU"/>
              </w:rPr>
              <w:t>рео</w:t>
            </w:r>
            <w:r>
              <w:rPr>
                <w:sz w:val="22"/>
                <w:szCs w:val="22"/>
                <w:lang w:val="ru-RU"/>
              </w:rPr>
              <w:t xml:space="preserve">н </w:t>
            </w:r>
          </w:p>
        </w:tc>
      </w:tr>
      <w:tr w:rsidR="005B5E82">
        <w:trPr>
          <w:trHeight w:val="242"/>
        </w:trPr>
        <w:tc>
          <w:tcPr>
            <w:tcW w:w="426"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jc w:val="center"/>
              <w:rPr>
                <w:sz w:val="22"/>
                <w:szCs w:val="22"/>
                <w:lang w:val="ru-RU"/>
              </w:rPr>
            </w:pPr>
            <w:r>
              <w:rPr>
                <w:sz w:val="22"/>
                <w:szCs w:val="22"/>
                <w:lang w:val="ru-RU"/>
              </w:rPr>
              <w:t>1.</w:t>
            </w:r>
          </w:p>
        </w:tc>
        <w:tc>
          <w:tcPr>
            <w:tcW w:w="6052"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jc w:val="center"/>
              <w:rPr>
                <w:rFonts w:ascii="Times New Roman" w:hAnsi="Times New Roman" w:cs="Times New Roman"/>
                <w:sz w:val="22"/>
                <w:szCs w:val="22"/>
                <w:lang w:val="ru-RU"/>
              </w:rPr>
            </w:pPr>
            <w:r>
              <w:rPr>
                <w:rFonts w:ascii="TTE24E6278t00" w:hAnsi="TTE24E6278t00" w:cs="TTE24E6278t00"/>
                <w:b/>
                <w:bCs/>
                <w:i/>
                <w:iCs/>
                <w:sz w:val="22"/>
                <w:szCs w:val="22"/>
                <w:lang w:val="ru-RU"/>
              </w:rPr>
              <w:t>Станбен</w:t>
            </w:r>
            <w:r>
              <w:rPr>
                <w:b/>
                <w:bCs/>
                <w:i/>
                <w:iCs/>
                <w:sz w:val="22"/>
                <w:szCs w:val="22"/>
                <w:lang w:val="ru-RU"/>
              </w:rPr>
              <w:t xml:space="preserve">и </w:t>
            </w:r>
            <w:r>
              <w:rPr>
                <w:rFonts w:ascii="TTE24E6278t00" w:hAnsi="TTE24E6278t00" w:cs="TTE24E6278t00"/>
                <w:b/>
                <w:bCs/>
                <w:i/>
                <w:iCs/>
                <w:sz w:val="22"/>
                <w:szCs w:val="22"/>
                <w:lang w:val="ru-RU"/>
              </w:rPr>
              <w:t>објект</w:t>
            </w:r>
            <w:r>
              <w:rPr>
                <w:b/>
                <w:bCs/>
                <w:i/>
                <w:iCs/>
                <w:sz w:val="22"/>
                <w:szCs w:val="22"/>
                <w:lang w:val="ru-RU"/>
              </w:rPr>
              <w:t>и</w:t>
            </w:r>
            <w:r>
              <w:rPr>
                <w:rFonts w:ascii="Times New Roman" w:hAnsi="Times New Roman" w:cs="Times New Roman"/>
                <w:sz w:val="22"/>
                <w:szCs w:val="22"/>
                <w:lang w:val="ru-RU"/>
              </w:rPr>
              <w:t>(</w:t>
            </w:r>
            <w:r>
              <w:rPr>
                <w:rFonts w:ascii="TTE1B85C78t00" w:hAnsi="TTE1B85C78t00" w:cs="TTE1B85C78t00"/>
                <w:sz w:val="22"/>
                <w:szCs w:val="22"/>
                <w:lang w:val="ru-RU"/>
              </w:rPr>
              <w:t>индивидуалн</w:t>
            </w:r>
            <w:r>
              <w:rPr>
                <w:sz w:val="22"/>
                <w:szCs w:val="22"/>
                <w:lang w:val="ru-RU"/>
              </w:rPr>
              <w:t>и</w:t>
            </w:r>
            <w:r>
              <w:rPr>
                <w:rFonts w:ascii="TTE1B85C78t00" w:hAnsi="TTE1B85C78t00" w:cs="TTE1B85C78t00"/>
                <w:sz w:val="22"/>
                <w:szCs w:val="22"/>
                <w:lang w:val="ru-RU"/>
              </w:rPr>
              <w:t xml:space="preserve"> и колективни</w:t>
            </w:r>
            <w:r>
              <w:rPr>
                <w:rFonts w:ascii="Times New Roman" w:hAnsi="Times New Roman" w:cs="Times New Roman"/>
                <w:sz w:val="22"/>
                <w:szCs w:val="22"/>
                <w:lang w:val="ru-RU"/>
              </w:rPr>
              <w:t>)</w:t>
            </w:r>
          </w:p>
          <w:p w:rsidR="005B5E82" w:rsidRDefault="00253F74">
            <w:pPr>
              <w:pStyle w:val="Default"/>
              <w:rPr>
                <w:rFonts w:ascii="Calibri" w:hAnsi="Calibri" w:cs="TTE24E62F8t00"/>
                <w:sz w:val="22"/>
                <w:szCs w:val="22"/>
              </w:rPr>
            </w:pPr>
            <w:r>
              <w:rPr>
                <w:rFonts w:ascii="Times New Roman" w:hAnsi="Times New Roman" w:cs="Times New Roman"/>
                <w:sz w:val="22"/>
                <w:szCs w:val="22"/>
                <w:lang w:val="ru-RU"/>
              </w:rPr>
              <w:t xml:space="preserve">- </w:t>
            </w:r>
            <w:r>
              <w:rPr>
                <w:rFonts w:ascii="TTE1B85C78t00" w:hAnsi="TTE1B85C78t00" w:cs="TTE1B85C78t00"/>
                <w:sz w:val="22"/>
                <w:szCs w:val="22"/>
                <w:lang w:val="ru-RU"/>
              </w:rPr>
              <w:t>станбен</w:t>
            </w:r>
            <w:r>
              <w:rPr>
                <w:sz w:val="22"/>
                <w:szCs w:val="22"/>
                <w:lang w:val="ru-RU"/>
              </w:rPr>
              <w:t xml:space="preserve">и </w:t>
            </w:r>
            <w:r>
              <w:rPr>
                <w:rFonts w:ascii="TTE1B85C78t00" w:hAnsi="TTE1B85C78t00" w:cs="TTE1B85C78t00"/>
                <w:sz w:val="22"/>
                <w:szCs w:val="22"/>
                <w:lang w:val="ru-RU"/>
              </w:rPr>
              <w:t>простори</w:t>
            </w:r>
            <w:r>
              <w:rPr>
                <w:sz w:val="22"/>
                <w:szCs w:val="22"/>
                <w:lang w:val="ru-RU"/>
              </w:rPr>
              <w:t>и  ................................................</w:t>
            </w:r>
          </w:p>
          <w:p w:rsidR="005B5E82" w:rsidRDefault="00253F74">
            <w:pPr>
              <w:pStyle w:val="Default"/>
              <w:rPr>
                <w:rFonts w:ascii="TTE24E62F8t00" w:hAnsi="TTE24E62F8t00"/>
                <w:sz w:val="22"/>
                <w:szCs w:val="22"/>
                <w:lang w:val="ru-RU"/>
              </w:rPr>
            </w:pPr>
            <w:r>
              <w:rPr>
                <w:sz w:val="22"/>
                <w:szCs w:val="22"/>
                <w:lang w:val="ru-RU"/>
              </w:rPr>
              <w:t>- станбени простории во висина до</w:t>
            </w:r>
            <w:r>
              <w:rPr>
                <w:sz w:val="22"/>
                <w:szCs w:val="22"/>
                <w:lang w:val="ru-RU"/>
              </w:rPr>
              <w:t xml:space="preserve"> 2,5 м и поткровје ..</w:t>
            </w:r>
          </w:p>
          <w:p w:rsidR="005B5E82" w:rsidRDefault="00253F74">
            <w:pPr>
              <w:pStyle w:val="Default"/>
              <w:rPr>
                <w:rFonts w:ascii="Calibri" w:hAnsi="Calibri"/>
                <w:sz w:val="22"/>
                <w:szCs w:val="22"/>
              </w:rPr>
            </w:pPr>
            <w:r>
              <w:rPr>
                <w:sz w:val="22"/>
                <w:szCs w:val="22"/>
                <w:lang w:val="ru-RU"/>
              </w:rPr>
              <w:t>- логија затворена од три страни ...............................</w:t>
            </w:r>
          </w:p>
          <w:p w:rsidR="005B5E82" w:rsidRDefault="00253F74">
            <w:pPr>
              <w:pStyle w:val="Default"/>
              <w:rPr>
                <w:rFonts w:ascii="Calibri" w:hAnsi="Calibri"/>
                <w:sz w:val="22"/>
                <w:szCs w:val="22"/>
              </w:rPr>
            </w:pPr>
            <w:r>
              <w:rPr>
                <w:sz w:val="22"/>
                <w:szCs w:val="22"/>
                <w:lang w:val="ru-RU"/>
              </w:rPr>
              <w:t>- балкони, тераси  ..........................................................</w:t>
            </w:r>
          </w:p>
          <w:p w:rsidR="005B5E82" w:rsidRDefault="00253F74">
            <w:pPr>
              <w:pStyle w:val="Default"/>
              <w:ind w:left="162" w:hanging="162"/>
              <w:rPr>
                <w:rFonts w:ascii="Calibri" w:hAnsi="Calibri"/>
                <w:sz w:val="22"/>
                <w:szCs w:val="22"/>
              </w:rPr>
            </w:pPr>
            <w:r>
              <w:rPr>
                <w:sz w:val="22"/>
                <w:szCs w:val="22"/>
                <w:lang w:val="ru-RU"/>
              </w:rPr>
              <w:t>- паркиралишта и гаражи ...............................................</w:t>
            </w:r>
          </w:p>
          <w:p w:rsidR="005B5E82" w:rsidRDefault="00253F74">
            <w:pPr>
              <w:pStyle w:val="Default"/>
              <w:ind w:left="162" w:hanging="162"/>
              <w:rPr>
                <w:rFonts w:ascii="Calibri" w:hAnsi="Calibri"/>
                <w:sz w:val="22"/>
                <w:szCs w:val="22"/>
              </w:rPr>
            </w:pPr>
            <w:r>
              <w:rPr>
                <w:sz w:val="22"/>
                <w:szCs w:val="22"/>
                <w:lang w:val="ru-RU"/>
              </w:rPr>
              <w:t>- помошни простории</w:t>
            </w:r>
            <w:r>
              <w:rPr>
                <w:sz w:val="22"/>
                <w:szCs w:val="22"/>
                <w:lang w:val="ru-RU"/>
              </w:rPr>
              <w:t>, остава за гориво, котлара, трафостаница во објект, визба  .................................</w:t>
            </w:r>
          </w:p>
        </w:tc>
        <w:tc>
          <w:tcPr>
            <w:tcW w:w="3073" w:type="dxa"/>
            <w:tcBorders>
              <w:top w:val="single" w:sz="4" w:space="0" w:color="auto"/>
              <w:left w:val="single" w:sz="4" w:space="0" w:color="auto"/>
              <w:bottom w:val="single" w:sz="4" w:space="0" w:color="auto"/>
              <w:right w:val="single" w:sz="4" w:space="0" w:color="auto"/>
            </w:tcBorders>
            <w:noWrap/>
          </w:tcPr>
          <w:p w:rsidR="005B5E82" w:rsidRDefault="00253F74">
            <w:pPr>
              <w:pStyle w:val="Default"/>
              <w:rPr>
                <w:rFonts w:ascii="Calibri" w:hAnsi="Calibri"/>
                <w:sz w:val="22"/>
                <w:szCs w:val="22"/>
              </w:rPr>
            </w:pPr>
            <w:r>
              <w:rPr>
                <w:rFonts w:ascii="Calibri" w:hAnsi="Calibri"/>
                <w:sz w:val="22"/>
                <w:szCs w:val="22"/>
              </w:rPr>
              <w:t>14 евра</w:t>
            </w:r>
            <w:r>
              <w:rPr>
                <w:rFonts w:ascii="Calibri" w:hAnsi="Calibri"/>
                <w:sz w:val="22"/>
                <w:szCs w:val="22"/>
                <w:lang w:val="mk-MK"/>
              </w:rPr>
              <w:t>/м2</w:t>
            </w:r>
            <w:r>
              <w:rPr>
                <w:rFonts w:ascii="Calibri" w:hAnsi="Calibri"/>
                <w:sz w:val="22"/>
                <w:szCs w:val="22"/>
              </w:rPr>
              <w:t xml:space="preserve"> прва зона </w:t>
            </w:r>
          </w:p>
          <w:p w:rsidR="005B5E82" w:rsidRDefault="00253F74">
            <w:pPr>
              <w:pStyle w:val="Default"/>
              <w:rPr>
                <w:rFonts w:ascii="Calibri" w:hAnsi="Calibri"/>
                <w:sz w:val="22"/>
                <w:szCs w:val="22"/>
                <w:lang w:val="mk-MK"/>
              </w:rPr>
            </w:pPr>
            <w:r>
              <w:rPr>
                <w:rFonts w:ascii="Calibri" w:hAnsi="Calibri"/>
                <w:sz w:val="22"/>
                <w:szCs w:val="22"/>
                <w:lang w:val="mk-MK"/>
              </w:rPr>
              <w:t xml:space="preserve">10 евра/м2 втора зона </w:t>
            </w:r>
          </w:p>
        </w:tc>
      </w:tr>
      <w:tr w:rsidR="005B5E82">
        <w:trPr>
          <w:trHeight w:val="1529"/>
        </w:trPr>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color w:val="000000"/>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Calibri" w:hAnsi="Calibri" w:cs="TTE24E62F8t00"/>
                <w:color w:val="000000"/>
                <w:sz w:val="22"/>
                <w:szCs w:val="22"/>
                <w:lang w:val="en-US"/>
              </w:rPr>
            </w:pPr>
          </w:p>
        </w:tc>
        <w:tc>
          <w:tcPr>
            <w:tcW w:w="3073" w:type="dxa"/>
            <w:tcBorders>
              <w:top w:val="single" w:sz="4" w:space="0" w:color="auto"/>
              <w:left w:val="single" w:sz="4" w:space="0" w:color="auto"/>
              <w:bottom w:val="single" w:sz="4" w:space="0" w:color="auto"/>
              <w:right w:val="single" w:sz="4" w:space="0" w:color="auto"/>
            </w:tcBorders>
            <w:noWrap/>
          </w:tcPr>
          <w:p w:rsidR="005B5E82" w:rsidRDefault="00253F74">
            <w:pPr>
              <w:pStyle w:val="Default"/>
              <w:rPr>
                <w:color w:val="auto"/>
                <w:sz w:val="22"/>
                <w:szCs w:val="22"/>
                <w:lang w:val="ru-RU"/>
              </w:rPr>
            </w:pPr>
            <w:r>
              <w:rPr>
                <w:color w:val="auto"/>
                <w:sz w:val="22"/>
                <w:szCs w:val="22"/>
                <w:lang w:val="ru-RU"/>
              </w:rPr>
              <w:t>Коефициент 1,0</w:t>
            </w:r>
          </w:p>
          <w:p w:rsidR="005B5E82" w:rsidRDefault="00253F74">
            <w:pPr>
              <w:pStyle w:val="Default"/>
              <w:rPr>
                <w:color w:val="auto"/>
                <w:sz w:val="22"/>
                <w:szCs w:val="22"/>
                <w:lang w:val="ru-RU"/>
              </w:rPr>
            </w:pPr>
            <w:r>
              <w:rPr>
                <w:color w:val="auto"/>
                <w:sz w:val="22"/>
                <w:szCs w:val="22"/>
                <w:lang w:val="ru-RU"/>
              </w:rPr>
              <w:t>Коефициент 0,2</w:t>
            </w:r>
          </w:p>
          <w:p w:rsidR="005B5E82" w:rsidRDefault="00253F74">
            <w:pPr>
              <w:pStyle w:val="Default"/>
              <w:rPr>
                <w:color w:val="auto"/>
                <w:sz w:val="22"/>
                <w:szCs w:val="22"/>
                <w:lang w:val="ru-RU"/>
              </w:rPr>
            </w:pPr>
            <w:r>
              <w:rPr>
                <w:color w:val="auto"/>
                <w:sz w:val="22"/>
                <w:szCs w:val="22"/>
                <w:lang w:val="ru-RU"/>
              </w:rPr>
              <w:t>Коефициент 0,4</w:t>
            </w:r>
          </w:p>
          <w:p w:rsidR="005B5E82" w:rsidRDefault="00253F74">
            <w:pPr>
              <w:pStyle w:val="Default"/>
              <w:rPr>
                <w:color w:val="auto"/>
                <w:sz w:val="22"/>
                <w:szCs w:val="22"/>
                <w:lang w:val="ru-RU"/>
              </w:rPr>
            </w:pPr>
            <w:r>
              <w:rPr>
                <w:color w:val="auto"/>
                <w:sz w:val="22"/>
                <w:szCs w:val="22"/>
                <w:lang w:val="ru-RU"/>
              </w:rPr>
              <w:t>Коефициент 0,2</w:t>
            </w:r>
          </w:p>
          <w:p w:rsidR="005B5E82" w:rsidRDefault="00253F74">
            <w:pPr>
              <w:pStyle w:val="Default"/>
              <w:rPr>
                <w:color w:val="auto"/>
                <w:sz w:val="22"/>
                <w:szCs w:val="22"/>
                <w:lang w:val="ru-RU"/>
              </w:rPr>
            </w:pPr>
            <w:r>
              <w:rPr>
                <w:color w:val="auto"/>
                <w:sz w:val="22"/>
                <w:szCs w:val="22"/>
                <w:lang w:val="ru-RU"/>
              </w:rPr>
              <w:t>Коефициент 0,1</w:t>
            </w:r>
          </w:p>
          <w:p w:rsidR="005B5E82" w:rsidRDefault="005B5E82">
            <w:pPr>
              <w:pStyle w:val="Default"/>
              <w:rPr>
                <w:color w:val="auto"/>
                <w:sz w:val="22"/>
                <w:szCs w:val="22"/>
                <w:lang w:val="ru-RU"/>
              </w:rPr>
            </w:pPr>
          </w:p>
          <w:p w:rsidR="005B5E82" w:rsidRDefault="00253F74">
            <w:pPr>
              <w:pStyle w:val="Default"/>
              <w:rPr>
                <w:sz w:val="22"/>
                <w:szCs w:val="22"/>
                <w:lang w:val="ru-RU"/>
              </w:rPr>
            </w:pPr>
            <w:r>
              <w:rPr>
                <w:color w:val="auto"/>
                <w:sz w:val="22"/>
                <w:szCs w:val="22"/>
                <w:lang w:val="ru-RU"/>
              </w:rPr>
              <w:t>Коефициент 0,3</w:t>
            </w:r>
          </w:p>
        </w:tc>
      </w:tr>
      <w:tr w:rsidR="005B5E82">
        <w:trPr>
          <w:trHeight w:val="170"/>
        </w:trPr>
        <w:tc>
          <w:tcPr>
            <w:tcW w:w="426"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jc w:val="center"/>
              <w:rPr>
                <w:sz w:val="22"/>
                <w:szCs w:val="22"/>
                <w:lang w:val="ru-RU"/>
              </w:rPr>
            </w:pPr>
            <w:r>
              <w:rPr>
                <w:sz w:val="22"/>
                <w:szCs w:val="22"/>
                <w:lang w:val="ru-RU"/>
              </w:rPr>
              <w:t>2.</w:t>
            </w:r>
          </w:p>
        </w:tc>
        <w:tc>
          <w:tcPr>
            <w:tcW w:w="6052"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jc w:val="center"/>
              <w:rPr>
                <w:b/>
                <w:bCs/>
                <w:i/>
                <w:iCs/>
                <w:sz w:val="22"/>
                <w:szCs w:val="22"/>
                <w:lang w:val="ru-RU"/>
              </w:rPr>
            </w:pPr>
            <w:r>
              <w:rPr>
                <w:b/>
                <w:bCs/>
                <w:i/>
                <w:iCs/>
                <w:sz w:val="22"/>
                <w:szCs w:val="22"/>
                <w:lang w:val="ru-RU"/>
              </w:rPr>
              <w:t xml:space="preserve">Деловни </w:t>
            </w:r>
            <w:r>
              <w:rPr>
                <w:rFonts w:ascii="Calibri" w:hAnsi="Calibri"/>
                <w:b/>
                <w:bCs/>
                <w:i/>
                <w:iCs/>
                <w:sz w:val="22"/>
                <w:szCs w:val="22"/>
                <w:lang w:val="mk-MK"/>
              </w:rPr>
              <w:t xml:space="preserve">и јавни објекти </w:t>
            </w:r>
          </w:p>
          <w:p w:rsidR="005B5E82" w:rsidRDefault="00253F74">
            <w:pPr>
              <w:pStyle w:val="Default"/>
              <w:rPr>
                <w:rFonts w:ascii="Calibri" w:hAnsi="Calibri"/>
                <w:sz w:val="22"/>
                <w:szCs w:val="22"/>
              </w:rPr>
            </w:pPr>
            <w:r>
              <w:rPr>
                <w:sz w:val="22"/>
                <w:szCs w:val="22"/>
                <w:lang w:val="ru-RU"/>
              </w:rPr>
              <w:t>- простории ....................................................................</w:t>
            </w:r>
          </w:p>
          <w:p w:rsidR="005B5E82" w:rsidRDefault="00253F74">
            <w:pPr>
              <w:pStyle w:val="Default"/>
              <w:rPr>
                <w:rFonts w:ascii="Calibri" w:hAnsi="Calibri"/>
                <w:sz w:val="22"/>
                <w:szCs w:val="22"/>
              </w:rPr>
            </w:pPr>
            <w:r>
              <w:rPr>
                <w:sz w:val="22"/>
                <w:szCs w:val="22"/>
                <w:lang w:val="ru-RU"/>
              </w:rPr>
              <w:t>- магацини, простории во визби  ...................................</w:t>
            </w:r>
          </w:p>
          <w:p w:rsidR="005B5E82" w:rsidRDefault="00253F74">
            <w:pPr>
              <w:pStyle w:val="Default"/>
              <w:rPr>
                <w:rFonts w:ascii="Calibri" w:hAnsi="Calibri"/>
                <w:sz w:val="22"/>
                <w:szCs w:val="22"/>
              </w:rPr>
            </w:pPr>
            <w:r>
              <w:rPr>
                <w:sz w:val="22"/>
                <w:szCs w:val="22"/>
                <w:lang w:val="ru-RU"/>
              </w:rPr>
              <w:t>- паркиралишта и гаражи ..............................................</w:t>
            </w:r>
          </w:p>
        </w:tc>
        <w:tc>
          <w:tcPr>
            <w:tcW w:w="3073" w:type="dxa"/>
            <w:tcBorders>
              <w:top w:val="single" w:sz="4" w:space="0" w:color="auto"/>
              <w:left w:val="single" w:sz="4" w:space="0" w:color="auto"/>
              <w:bottom w:val="single" w:sz="4" w:space="0" w:color="auto"/>
              <w:right w:val="single" w:sz="4" w:space="0" w:color="auto"/>
            </w:tcBorders>
            <w:noWrap/>
          </w:tcPr>
          <w:p w:rsidR="005B5E82" w:rsidRDefault="00253F74">
            <w:pPr>
              <w:pStyle w:val="Default"/>
              <w:jc w:val="center"/>
              <w:rPr>
                <w:sz w:val="22"/>
                <w:szCs w:val="22"/>
                <w:lang w:val="ru-RU"/>
              </w:rPr>
            </w:pPr>
            <w:r>
              <w:rPr>
                <w:sz w:val="22"/>
                <w:szCs w:val="22"/>
                <w:lang w:val="ru-RU"/>
              </w:rPr>
              <w:t>25 евра ./м²</w:t>
            </w:r>
          </w:p>
        </w:tc>
      </w:tr>
      <w:tr w:rsidR="005B5E82">
        <w:trPr>
          <w:trHeight w:val="242"/>
        </w:trPr>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color w:val="000000"/>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Calibri" w:hAnsi="Calibri" w:cs="TTE24E62F8t00"/>
                <w:color w:val="000000"/>
                <w:sz w:val="22"/>
                <w:szCs w:val="22"/>
                <w:lang w:val="en-US"/>
              </w:rPr>
            </w:pPr>
          </w:p>
        </w:tc>
        <w:tc>
          <w:tcPr>
            <w:tcW w:w="3073" w:type="dxa"/>
            <w:tcBorders>
              <w:top w:val="single" w:sz="4" w:space="0" w:color="auto"/>
              <w:left w:val="single" w:sz="4" w:space="0" w:color="auto"/>
              <w:bottom w:val="single" w:sz="4" w:space="0" w:color="auto"/>
              <w:right w:val="single" w:sz="4" w:space="0" w:color="auto"/>
            </w:tcBorders>
            <w:noWrap/>
          </w:tcPr>
          <w:p w:rsidR="005B5E82" w:rsidRDefault="00253F74">
            <w:pPr>
              <w:pStyle w:val="Default"/>
              <w:rPr>
                <w:sz w:val="22"/>
                <w:szCs w:val="22"/>
                <w:lang w:val="ru-RU"/>
              </w:rPr>
            </w:pPr>
            <w:r>
              <w:rPr>
                <w:sz w:val="22"/>
                <w:szCs w:val="22"/>
                <w:lang w:val="ru-RU"/>
              </w:rPr>
              <w:t>Коефициент 1,0</w:t>
            </w:r>
          </w:p>
          <w:p w:rsidR="005B5E82" w:rsidRDefault="00253F74">
            <w:pPr>
              <w:pStyle w:val="Default"/>
              <w:rPr>
                <w:sz w:val="22"/>
                <w:szCs w:val="22"/>
                <w:lang w:val="ru-RU"/>
              </w:rPr>
            </w:pPr>
            <w:r>
              <w:rPr>
                <w:sz w:val="22"/>
                <w:szCs w:val="22"/>
                <w:lang w:val="ru-RU"/>
              </w:rPr>
              <w:t>Коефициент 0,5</w:t>
            </w:r>
          </w:p>
          <w:p w:rsidR="005B5E82" w:rsidRDefault="00253F74">
            <w:pPr>
              <w:pStyle w:val="Default"/>
              <w:rPr>
                <w:sz w:val="22"/>
                <w:szCs w:val="22"/>
                <w:lang w:val="ru-RU"/>
              </w:rPr>
            </w:pPr>
            <w:r>
              <w:rPr>
                <w:sz w:val="22"/>
                <w:szCs w:val="22"/>
                <w:lang w:val="ru-RU"/>
              </w:rPr>
              <w:t>Коефициент 0,1</w:t>
            </w:r>
          </w:p>
        </w:tc>
      </w:tr>
      <w:tr w:rsidR="005B5E82">
        <w:trPr>
          <w:trHeight w:val="438"/>
        </w:trPr>
        <w:tc>
          <w:tcPr>
            <w:tcW w:w="420"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jc w:val="both"/>
              <w:rPr>
                <w:spacing w:val="-6"/>
                <w:sz w:val="22"/>
                <w:szCs w:val="22"/>
                <w:lang w:val="ru-RU"/>
              </w:rPr>
            </w:pPr>
            <w:r>
              <w:rPr>
                <w:spacing w:val="-6"/>
                <w:sz w:val="22"/>
                <w:szCs w:val="22"/>
                <w:lang w:val="ru-RU"/>
              </w:rPr>
              <w:t>3.</w:t>
            </w:r>
          </w:p>
        </w:tc>
        <w:tc>
          <w:tcPr>
            <w:tcW w:w="6058"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rPr>
                <w:b/>
                <w:color w:val="auto"/>
                <w:sz w:val="22"/>
                <w:szCs w:val="22"/>
                <w:lang w:val="mk-MK"/>
              </w:rPr>
            </w:pPr>
            <w:r>
              <w:rPr>
                <w:rFonts w:ascii="Arial Bold" w:hAnsi="Arial Bold"/>
                <w:b/>
                <w:color w:val="auto"/>
                <w:spacing w:val="-5"/>
                <w:sz w:val="22"/>
                <w:szCs w:val="22"/>
                <w:lang w:val="mk-MK"/>
              </w:rPr>
              <w:t>О</w:t>
            </w:r>
            <w:r>
              <w:rPr>
                <w:rFonts w:ascii="Arial Bold" w:hAnsi="Arial Bold"/>
                <w:b/>
                <w:color w:val="auto"/>
                <w:spacing w:val="-5"/>
                <w:sz w:val="22"/>
                <w:szCs w:val="22"/>
              </w:rPr>
              <w:t xml:space="preserve">бјектите од група на класи на намени Г </w:t>
            </w:r>
            <w:r>
              <w:rPr>
                <w:color w:val="auto"/>
                <w:spacing w:val="-5"/>
                <w:sz w:val="22"/>
                <w:szCs w:val="22"/>
              </w:rPr>
              <w:t>-</w:t>
            </w:r>
            <w:r>
              <w:rPr>
                <w:color w:val="auto"/>
                <w:spacing w:val="-5"/>
                <w:sz w:val="22"/>
                <w:szCs w:val="22"/>
              </w:rPr>
              <w:lastRenderedPageBreak/>
              <w:t>производство,</w:t>
            </w:r>
            <w:r>
              <w:rPr>
                <w:color w:val="auto"/>
                <w:sz w:val="22"/>
                <w:szCs w:val="22"/>
              </w:rPr>
              <w:t xml:space="preserve"> дистрибуција и сервиси</w:t>
            </w:r>
            <w:r>
              <w:rPr>
                <w:color w:val="auto"/>
                <w:sz w:val="22"/>
                <w:szCs w:val="22"/>
                <w:lang w:val="mk-MK"/>
              </w:rPr>
              <w:t>:</w:t>
            </w:r>
          </w:p>
          <w:p w:rsidR="005B5E82" w:rsidRDefault="00253F74">
            <w:pPr>
              <w:pStyle w:val="Default"/>
              <w:rPr>
                <w:b/>
                <w:bCs/>
                <w:iCs/>
                <w:color w:val="auto"/>
                <w:spacing w:val="-6"/>
                <w:sz w:val="22"/>
                <w:szCs w:val="22"/>
              </w:rPr>
            </w:pPr>
            <w:r>
              <w:rPr>
                <w:color w:val="auto"/>
                <w:sz w:val="22"/>
                <w:szCs w:val="22"/>
              </w:rPr>
              <w:t>- Г1 тешка и загадувачка индустрија,……………….</w:t>
            </w:r>
            <w:r>
              <w:rPr>
                <w:color w:val="auto"/>
                <w:sz w:val="22"/>
                <w:szCs w:val="22"/>
              </w:rPr>
              <w:br/>
              <w:t>- Г2 лесна и незагадувачка индустрија,…………….</w:t>
            </w:r>
            <w:r>
              <w:rPr>
                <w:color w:val="auto"/>
                <w:sz w:val="22"/>
                <w:szCs w:val="22"/>
              </w:rPr>
              <w:br/>
              <w:t>- Г3 сервиси, ……………………………………………</w:t>
            </w:r>
            <w:r>
              <w:rPr>
                <w:color w:val="auto"/>
                <w:sz w:val="22"/>
                <w:szCs w:val="22"/>
              </w:rPr>
              <w:br/>
              <w:t xml:space="preserve">- Г4 </w:t>
            </w:r>
            <w:r>
              <w:rPr>
                <w:color w:val="auto"/>
                <w:sz w:val="22"/>
                <w:szCs w:val="22"/>
              </w:rPr>
              <w:t>стоваришта</w:t>
            </w:r>
            <w:r>
              <w:rPr>
                <w:color w:val="auto"/>
                <w:sz w:val="22"/>
                <w:szCs w:val="22"/>
                <w:lang w:val="mk-MK"/>
              </w:rPr>
              <w:t>…</w:t>
            </w:r>
            <w:r>
              <w:rPr>
                <w:color w:val="auto"/>
                <w:sz w:val="22"/>
                <w:szCs w:val="22"/>
              </w:rPr>
              <w:t>…………………………………</w:t>
            </w:r>
          </w:p>
        </w:tc>
        <w:tc>
          <w:tcPr>
            <w:tcW w:w="3073" w:type="dxa"/>
            <w:tcBorders>
              <w:top w:val="single" w:sz="4" w:space="0" w:color="auto"/>
              <w:left w:val="single" w:sz="4" w:space="0" w:color="auto"/>
              <w:bottom w:val="single" w:sz="4" w:space="0" w:color="auto"/>
              <w:right w:val="single" w:sz="4" w:space="0" w:color="auto"/>
            </w:tcBorders>
            <w:noWrap/>
            <w:vAlign w:val="center"/>
          </w:tcPr>
          <w:p w:rsidR="005B5E82" w:rsidRDefault="00253F74">
            <w:pPr>
              <w:pStyle w:val="Default"/>
              <w:jc w:val="center"/>
              <w:rPr>
                <w:color w:val="auto"/>
                <w:sz w:val="22"/>
                <w:szCs w:val="22"/>
                <w:lang w:val="ru-RU"/>
              </w:rPr>
            </w:pPr>
            <w:r>
              <w:rPr>
                <w:sz w:val="22"/>
                <w:szCs w:val="22"/>
                <w:lang w:val="ru-RU"/>
              </w:rPr>
              <w:lastRenderedPageBreak/>
              <w:t>50 евра ./м²</w:t>
            </w:r>
          </w:p>
        </w:tc>
      </w:tr>
      <w:tr w:rsidR="005B5E82">
        <w:trPr>
          <w:trHeight w:val="1068"/>
        </w:trPr>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color w:val="000000"/>
                <w:spacing w:val="-6"/>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b/>
                <w:bCs/>
                <w:iCs/>
                <w:spacing w:val="-6"/>
                <w:sz w:val="22"/>
                <w:szCs w:val="22"/>
                <w:lang w:val="en-US"/>
              </w:rPr>
            </w:pPr>
          </w:p>
        </w:tc>
        <w:tc>
          <w:tcPr>
            <w:tcW w:w="3073" w:type="dxa"/>
            <w:tcBorders>
              <w:top w:val="single" w:sz="4" w:space="0" w:color="auto"/>
              <w:left w:val="single" w:sz="4" w:space="0" w:color="auto"/>
              <w:bottom w:val="single" w:sz="4" w:space="0" w:color="auto"/>
              <w:right w:val="single" w:sz="4" w:space="0" w:color="auto"/>
            </w:tcBorders>
            <w:noWrap/>
          </w:tcPr>
          <w:p w:rsidR="005B5E82" w:rsidRDefault="00253F74">
            <w:pPr>
              <w:pStyle w:val="Default"/>
              <w:rPr>
                <w:color w:val="auto"/>
                <w:sz w:val="22"/>
                <w:szCs w:val="22"/>
                <w:lang w:val="ru-RU"/>
              </w:rPr>
            </w:pPr>
            <w:r>
              <w:rPr>
                <w:color w:val="auto"/>
                <w:sz w:val="22"/>
                <w:szCs w:val="22"/>
                <w:lang w:val="ru-RU"/>
              </w:rPr>
              <w:t>Коефициент 0,05</w:t>
            </w:r>
          </w:p>
          <w:p w:rsidR="005B5E82" w:rsidRDefault="00253F74">
            <w:pPr>
              <w:pStyle w:val="Default"/>
              <w:rPr>
                <w:color w:val="auto"/>
                <w:sz w:val="22"/>
                <w:szCs w:val="22"/>
                <w:lang w:val="ru-RU"/>
              </w:rPr>
            </w:pPr>
            <w:r>
              <w:rPr>
                <w:color w:val="auto"/>
                <w:sz w:val="22"/>
                <w:szCs w:val="22"/>
                <w:lang w:val="ru-RU"/>
              </w:rPr>
              <w:t>Коефициент 0,01</w:t>
            </w:r>
          </w:p>
          <w:p w:rsidR="005B5E82" w:rsidRDefault="00253F74">
            <w:pPr>
              <w:pStyle w:val="Default"/>
              <w:rPr>
                <w:color w:val="auto"/>
                <w:sz w:val="22"/>
                <w:szCs w:val="22"/>
                <w:lang w:val="ru-RU"/>
              </w:rPr>
            </w:pPr>
            <w:r>
              <w:rPr>
                <w:color w:val="auto"/>
                <w:sz w:val="22"/>
                <w:szCs w:val="22"/>
                <w:lang w:val="ru-RU"/>
              </w:rPr>
              <w:t>Коефициент 0,01</w:t>
            </w:r>
          </w:p>
          <w:p w:rsidR="005B5E82" w:rsidRDefault="00253F74">
            <w:pPr>
              <w:pStyle w:val="Default"/>
              <w:rPr>
                <w:sz w:val="22"/>
                <w:szCs w:val="22"/>
                <w:lang w:val="ru-RU"/>
              </w:rPr>
            </w:pPr>
            <w:r>
              <w:rPr>
                <w:color w:val="auto"/>
                <w:sz w:val="22"/>
                <w:szCs w:val="22"/>
                <w:lang w:val="ru-RU"/>
              </w:rPr>
              <w:t>Коефициент 0,01</w:t>
            </w:r>
          </w:p>
        </w:tc>
      </w:tr>
      <w:tr w:rsidR="005B5E82">
        <w:trPr>
          <w:trHeight w:val="702"/>
        </w:trPr>
        <w:tc>
          <w:tcPr>
            <w:tcW w:w="420"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jc w:val="both"/>
              <w:rPr>
                <w:spacing w:val="-6"/>
                <w:sz w:val="22"/>
                <w:szCs w:val="22"/>
                <w:lang w:val="ru-RU"/>
              </w:rPr>
            </w:pPr>
            <w:r>
              <w:rPr>
                <w:spacing w:val="-6"/>
                <w:sz w:val="22"/>
                <w:szCs w:val="22"/>
                <w:lang w:val="ru-RU"/>
              </w:rPr>
              <w:lastRenderedPageBreak/>
              <w:t>4</w:t>
            </w:r>
          </w:p>
        </w:tc>
        <w:tc>
          <w:tcPr>
            <w:tcW w:w="6058"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ind w:right="-95"/>
              <w:rPr>
                <w:b/>
                <w:color w:val="auto"/>
                <w:sz w:val="22"/>
                <w:szCs w:val="22"/>
                <w:lang w:val="mk-MK"/>
              </w:rPr>
            </w:pPr>
            <w:r>
              <w:rPr>
                <w:b/>
                <w:color w:val="auto"/>
                <w:sz w:val="22"/>
                <w:szCs w:val="22"/>
                <w:lang w:val="mk-MK"/>
              </w:rPr>
              <w:t>Б</w:t>
            </w:r>
            <w:r>
              <w:rPr>
                <w:b/>
                <w:color w:val="auto"/>
                <w:sz w:val="22"/>
                <w:szCs w:val="22"/>
              </w:rPr>
              <w:t>ензинска пумпна станица и нејзини придружни содржини</w:t>
            </w:r>
            <w:r>
              <w:rPr>
                <w:color w:val="auto"/>
                <w:sz w:val="22"/>
                <w:szCs w:val="22"/>
              </w:rPr>
              <w:t xml:space="preserve"> (продавници, кафетерии и ресторани, авто сервиси, авто салони, помошни простории):</w:t>
            </w:r>
            <w:r>
              <w:rPr>
                <w:color w:val="auto"/>
                <w:sz w:val="22"/>
                <w:szCs w:val="22"/>
              </w:rPr>
              <w:br/>
              <w:t xml:space="preserve">- продажни </w:t>
            </w:r>
            <w:r>
              <w:rPr>
                <w:color w:val="auto"/>
                <w:sz w:val="22"/>
                <w:szCs w:val="22"/>
              </w:rPr>
              <w:t>простории на бензинските пумпни станици</w:t>
            </w:r>
            <w:r>
              <w:rPr>
                <w:color w:val="auto"/>
                <w:sz w:val="22"/>
                <w:szCs w:val="22"/>
              </w:rPr>
              <w:br/>
              <w:t>- услужни простории на бензинските пумпни станиц</w:t>
            </w:r>
            <w:r>
              <w:rPr>
                <w:color w:val="auto"/>
                <w:sz w:val="22"/>
                <w:szCs w:val="22"/>
                <w:lang w:val="mk-MK"/>
              </w:rPr>
              <w:t>и</w:t>
            </w:r>
          </w:p>
        </w:tc>
        <w:tc>
          <w:tcPr>
            <w:tcW w:w="3073" w:type="dxa"/>
            <w:tcBorders>
              <w:top w:val="single" w:sz="4" w:space="0" w:color="auto"/>
              <w:left w:val="single" w:sz="4" w:space="0" w:color="auto"/>
              <w:bottom w:val="single" w:sz="4" w:space="0" w:color="auto"/>
              <w:right w:val="single" w:sz="4" w:space="0" w:color="auto"/>
            </w:tcBorders>
            <w:noWrap/>
            <w:vAlign w:val="center"/>
          </w:tcPr>
          <w:p w:rsidR="005B5E82" w:rsidRDefault="00253F74">
            <w:pPr>
              <w:pStyle w:val="Default"/>
              <w:rPr>
                <w:color w:val="auto"/>
                <w:sz w:val="22"/>
                <w:szCs w:val="22"/>
                <w:lang w:val="ru-RU"/>
              </w:rPr>
            </w:pPr>
            <w:r>
              <w:rPr>
                <w:sz w:val="22"/>
                <w:szCs w:val="22"/>
                <w:lang w:val="ru-RU"/>
              </w:rPr>
              <w:t>50 евра ./м²</w:t>
            </w:r>
          </w:p>
        </w:tc>
      </w:tr>
      <w:tr w:rsidR="005B5E82">
        <w:trPr>
          <w:trHeight w:val="557"/>
        </w:trPr>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color w:val="000000"/>
                <w:spacing w:val="-6"/>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b/>
                <w:sz w:val="22"/>
                <w:szCs w:val="22"/>
              </w:rPr>
            </w:pPr>
          </w:p>
        </w:tc>
        <w:tc>
          <w:tcPr>
            <w:tcW w:w="3073" w:type="dxa"/>
            <w:tcBorders>
              <w:top w:val="single" w:sz="4" w:space="0" w:color="auto"/>
              <w:left w:val="single" w:sz="4" w:space="0" w:color="auto"/>
              <w:bottom w:val="single" w:sz="4" w:space="0" w:color="auto"/>
              <w:right w:val="single" w:sz="4" w:space="0" w:color="auto"/>
            </w:tcBorders>
            <w:noWrap/>
            <w:vAlign w:val="center"/>
          </w:tcPr>
          <w:p w:rsidR="005B5E82" w:rsidRDefault="00253F74">
            <w:pPr>
              <w:pStyle w:val="Default"/>
              <w:rPr>
                <w:color w:val="auto"/>
                <w:sz w:val="22"/>
                <w:szCs w:val="22"/>
                <w:lang w:val="ru-RU"/>
              </w:rPr>
            </w:pPr>
            <w:r>
              <w:rPr>
                <w:color w:val="auto"/>
                <w:sz w:val="22"/>
                <w:szCs w:val="22"/>
                <w:lang w:val="ru-RU"/>
              </w:rPr>
              <w:t>Коефициент 1,0</w:t>
            </w:r>
          </w:p>
          <w:p w:rsidR="005B5E82" w:rsidRDefault="00253F74">
            <w:pPr>
              <w:pStyle w:val="Default"/>
              <w:rPr>
                <w:sz w:val="22"/>
                <w:szCs w:val="22"/>
                <w:lang w:val="ru-RU"/>
              </w:rPr>
            </w:pPr>
            <w:r>
              <w:rPr>
                <w:color w:val="auto"/>
                <w:sz w:val="22"/>
                <w:szCs w:val="22"/>
                <w:lang w:val="ru-RU"/>
              </w:rPr>
              <w:t>Коефициент 1,0</w:t>
            </w:r>
          </w:p>
        </w:tc>
      </w:tr>
      <w:tr w:rsidR="005B5E82">
        <w:trPr>
          <w:trHeight w:val="932"/>
        </w:trPr>
        <w:tc>
          <w:tcPr>
            <w:tcW w:w="420"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spacing w:val="-6"/>
                <w:sz w:val="22"/>
                <w:szCs w:val="22"/>
                <w:lang w:val="ru-RU"/>
              </w:rPr>
            </w:pPr>
            <w:r>
              <w:rPr>
                <w:spacing w:val="-6"/>
                <w:sz w:val="22"/>
                <w:szCs w:val="22"/>
                <w:lang w:val="ru-RU"/>
              </w:rPr>
              <w:t>5</w:t>
            </w:r>
          </w:p>
        </w:tc>
        <w:tc>
          <w:tcPr>
            <w:tcW w:w="6058"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ind w:right="-95"/>
              <w:rPr>
                <w:b/>
                <w:bCs/>
                <w:iCs/>
                <w:color w:val="auto"/>
                <w:spacing w:val="-6"/>
                <w:sz w:val="22"/>
                <w:szCs w:val="22"/>
                <w:lang w:val="mk-MK"/>
              </w:rPr>
            </w:pPr>
            <w:r>
              <w:rPr>
                <w:b/>
                <w:color w:val="auto"/>
                <w:sz w:val="22"/>
                <w:szCs w:val="22"/>
                <w:lang w:val="mk-MK"/>
              </w:rPr>
              <w:t>О</w:t>
            </w:r>
            <w:r>
              <w:rPr>
                <w:b/>
                <w:color w:val="auto"/>
                <w:sz w:val="22"/>
                <w:szCs w:val="22"/>
              </w:rPr>
              <w:t xml:space="preserve">бјектите од група на класи на намени Б 5 </w:t>
            </w:r>
            <w:r>
              <w:rPr>
                <w:b/>
                <w:color w:val="auto"/>
                <w:sz w:val="22"/>
                <w:szCs w:val="22"/>
                <w:lang w:val="mk-MK"/>
              </w:rPr>
              <w:t>и А 4</w:t>
            </w:r>
            <w:r>
              <w:rPr>
                <w:color w:val="auto"/>
                <w:spacing w:val="-4"/>
                <w:sz w:val="22"/>
                <w:szCs w:val="22"/>
              </w:rPr>
              <w:t>угостителски и туристички комплекси, хотелски комплекси</w:t>
            </w:r>
            <w:r>
              <w:rPr>
                <w:color w:val="auto"/>
                <w:spacing w:val="-5"/>
                <w:sz w:val="22"/>
                <w:szCs w:val="22"/>
              </w:rPr>
              <w:t>и одморалишта</w:t>
            </w:r>
            <w:r>
              <w:rPr>
                <w:color w:val="auto"/>
                <w:sz w:val="22"/>
                <w:szCs w:val="22"/>
              </w:rPr>
              <w:t xml:space="preserve"> хотел, мотел, времено </w:t>
            </w:r>
            <w:r>
              <w:rPr>
                <w:color w:val="auto"/>
                <w:spacing w:val="-2"/>
                <w:sz w:val="22"/>
                <w:szCs w:val="22"/>
              </w:rPr>
              <w:t>сместување во викенд куќи, планинарски дом и ловен</w:t>
            </w:r>
            <w:r>
              <w:rPr>
                <w:color w:val="auto"/>
                <w:sz w:val="22"/>
                <w:szCs w:val="22"/>
              </w:rPr>
              <w:t xml:space="preserve"> дом:</w:t>
            </w:r>
            <w:r>
              <w:rPr>
                <w:b/>
                <w:color w:val="auto"/>
                <w:sz w:val="22"/>
                <w:szCs w:val="22"/>
              </w:rPr>
              <w:br/>
            </w:r>
            <w:r>
              <w:rPr>
                <w:color w:val="auto"/>
                <w:sz w:val="22"/>
                <w:szCs w:val="22"/>
              </w:rPr>
              <w:t>- сите простории</w:t>
            </w:r>
          </w:p>
        </w:tc>
        <w:tc>
          <w:tcPr>
            <w:tcW w:w="3073" w:type="dxa"/>
            <w:tcBorders>
              <w:top w:val="single" w:sz="4" w:space="0" w:color="auto"/>
              <w:left w:val="single" w:sz="4" w:space="0" w:color="auto"/>
              <w:bottom w:val="single" w:sz="4" w:space="0" w:color="auto"/>
              <w:right w:val="single" w:sz="4" w:space="0" w:color="auto"/>
            </w:tcBorders>
            <w:noWrap/>
            <w:vAlign w:val="center"/>
          </w:tcPr>
          <w:p w:rsidR="005B5E82" w:rsidRDefault="00253F74">
            <w:pPr>
              <w:pStyle w:val="Default"/>
              <w:spacing w:line="232" w:lineRule="auto"/>
              <w:rPr>
                <w:sz w:val="22"/>
                <w:szCs w:val="22"/>
                <w:lang w:val="ru-RU"/>
              </w:rPr>
            </w:pPr>
            <w:r>
              <w:rPr>
                <w:sz w:val="22"/>
                <w:szCs w:val="22"/>
                <w:lang w:val="ru-RU"/>
              </w:rPr>
              <w:t xml:space="preserve"> 50 евра./м²</w:t>
            </w:r>
          </w:p>
        </w:tc>
      </w:tr>
      <w:tr w:rsidR="005B5E82">
        <w:trPr>
          <w:trHeight w:val="267"/>
        </w:trPr>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color w:val="000000"/>
                <w:spacing w:val="-6"/>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b/>
                <w:bCs/>
                <w:iCs/>
                <w:spacing w:val="-6"/>
                <w:sz w:val="22"/>
                <w:szCs w:val="22"/>
              </w:rPr>
            </w:pPr>
          </w:p>
        </w:tc>
        <w:tc>
          <w:tcPr>
            <w:tcW w:w="3073" w:type="dxa"/>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rPr>
                <w:sz w:val="22"/>
                <w:szCs w:val="22"/>
                <w:lang w:val="ru-RU"/>
              </w:rPr>
            </w:pPr>
            <w:r>
              <w:rPr>
                <w:sz w:val="22"/>
                <w:szCs w:val="22"/>
                <w:lang w:val="ru-RU"/>
              </w:rPr>
              <w:t>Коефициент 0,05</w:t>
            </w:r>
          </w:p>
        </w:tc>
      </w:tr>
      <w:tr w:rsidR="005B5E82">
        <w:trPr>
          <w:trHeight w:val="447"/>
        </w:trPr>
        <w:tc>
          <w:tcPr>
            <w:tcW w:w="420"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spacing w:val="-6"/>
                <w:sz w:val="22"/>
                <w:szCs w:val="22"/>
                <w:lang w:val="ru-RU"/>
              </w:rPr>
            </w:pPr>
            <w:r>
              <w:rPr>
                <w:spacing w:val="-6"/>
                <w:sz w:val="22"/>
                <w:szCs w:val="22"/>
                <w:lang w:val="ru-RU"/>
              </w:rPr>
              <w:t>6</w:t>
            </w:r>
          </w:p>
        </w:tc>
        <w:tc>
          <w:tcPr>
            <w:tcW w:w="6058" w:type="dxa"/>
            <w:vMerge w:val="restart"/>
            <w:tcBorders>
              <w:top w:val="single" w:sz="4" w:space="0" w:color="auto"/>
              <w:left w:val="single" w:sz="4" w:space="0" w:color="auto"/>
              <w:bottom w:val="single" w:sz="4" w:space="0" w:color="auto"/>
              <w:right w:val="single" w:sz="4" w:space="0" w:color="auto"/>
            </w:tcBorders>
            <w:noWrap/>
          </w:tcPr>
          <w:p w:rsidR="005B5E82" w:rsidRDefault="00253F74">
            <w:pPr>
              <w:autoSpaceDE w:val="0"/>
              <w:autoSpaceDN w:val="0"/>
              <w:adjustRightInd w:val="0"/>
              <w:spacing w:line="232" w:lineRule="auto"/>
              <w:rPr>
                <w:rFonts w:ascii="Arial" w:hAnsi="Arial" w:cs="Arial"/>
                <w:b/>
                <w:sz w:val="22"/>
                <w:szCs w:val="22"/>
              </w:rPr>
            </w:pPr>
            <w:r>
              <w:rPr>
                <w:rFonts w:ascii="Arial" w:hAnsi="Arial" w:cs="Arial"/>
                <w:b/>
                <w:sz w:val="22"/>
                <w:szCs w:val="22"/>
              </w:rPr>
              <w:t>Детски градинки, пензионерски домови и домови за стари лица</w:t>
            </w:r>
          </w:p>
          <w:p w:rsidR="005B5E82" w:rsidRDefault="00253F74">
            <w:pPr>
              <w:autoSpaceDE w:val="0"/>
              <w:autoSpaceDN w:val="0"/>
              <w:adjustRightInd w:val="0"/>
              <w:spacing w:line="232" w:lineRule="auto"/>
              <w:rPr>
                <w:rFonts w:ascii="Arial" w:hAnsi="Arial" w:cs="Arial"/>
                <w:sz w:val="22"/>
                <w:szCs w:val="22"/>
              </w:rPr>
            </w:pPr>
            <w:r>
              <w:rPr>
                <w:rFonts w:ascii="Arial" w:hAnsi="Arial" w:cs="Arial"/>
                <w:sz w:val="22"/>
                <w:szCs w:val="22"/>
              </w:rPr>
              <w:t>- сите простории</w:t>
            </w:r>
          </w:p>
        </w:tc>
        <w:tc>
          <w:tcPr>
            <w:tcW w:w="3073" w:type="dxa"/>
            <w:tcBorders>
              <w:top w:val="single" w:sz="4" w:space="0" w:color="auto"/>
              <w:left w:val="single" w:sz="4" w:space="0" w:color="auto"/>
              <w:bottom w:val="single" w:sz="4" w:space="0" w:color="auto"/>
              <w:right w:val="single" w:sz="4" w:space="0" w:color="auto"/>
            </w:tcBorders>
            <w:noWrap/>
            <w:vAlign w:val="center"/>
          </w:tcPr>
          <w:p w:rsidR="005B5E82" w:rsidRDefault="00253F74">
            <w:pPr>
              <w:pStyle w:val="Default"/>
              <w:spacing w:line="232" w:lineRule="auto"/>
              <w:rPr>
                <w:sz w:val="22"/>
                <w:szCs w:val="22"/>
                <w:lang w:val="ru-RU"/>
              </w:rPr>
            </w:pPr>
            <w:r>
              <w:rPr>
                <w:sz w:val="22"/>
                <w:szCs w:val="22"/>
                <w:lang w:val="ru-RU"/>
              </w:rPr>
              <w:t>50 евра./м²</w:t>
            </w:r>
          </w:p>
        </w:tc>
      </w:tr>
      <w:tr w:rsidR="005B5E82">
        <w:trPr>
          <w:trHeight w:val="206"/>
        </w:trPr>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color w:val="000000"/>
                <w:spacing w:val="-6"/>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sz w:val="22"/>
                <w:szCs w:val="22"/>
              </w:rPr>
            </w:pPr>
          </w:p>
        </w:tc>
        <w:tc>
          <w:tcPr>
            <w:tcW w:w="3073" w:type="dxa"/>
            <w:tcBorders>
              <w:top w:val="single" w:sz="4" w:space="0" w:color="auto"/>
              <w:left w:val="single" w:sz="4" w:space="0" w:color="auto"/>
              <w:bottom w:val="single" w:sz="4" w:space="0" w:color="auto"/>
              <w:right w:val="single" w:sz="4" w:space="0" w:color="auto"/>
            </w:tcBorders>
            <w:noWrap/>
            <w:vAlign w:val="center"/>
          </w:tcPr>
          <w:p w:rsidR="005B5E82" w:rsidRDefault="00253F74">
            <w:pPr>
              <w:pStyle w:val="Default"/>
              <w:spacing w:line="232" w:lineRule="auto"/>
              <w:rPr>
                <w:sz w:val="22"/>
                <w:szCs w:val="22"/>
                <w:lang w:val="ru-RU"/>
              </w:rPr>
            </w:pPr>
            <w:r>
              <w:rPr>
                <w:sz w:val="22"/>
                <w:szCs w:val="22"/>
                <w:lang w:val="ru-RU"/>
              </w:rPr>
              <w:t>Коефициент 0,05</w:t>
            </w:r>
          </w:p>
        </w:tc>
      </w:tr>
      <w:tr w:rsidR="005B5E82">
        <w:trPr>
          <w:trHeight w:val="264"/>
        </w:trPr>
        <w:tc>
          <w:tcPr>
            <w:tcW w:w="420"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spacing w:val="-6"/>
                <w:sz w:val="22"/>
                <w:szCs w:val="22"/>
                <w:lang w:val="ru-RU"/>
              </w:rPr>
            </w:pPr>
            <w:r>
              <w:rPr>
                <w:spacing w:val="-6"/>
                <w:sz w:val="22"/>
                <w:szCs w:val="22"/>
                <w:lang w:val="ru-RU"/>
              </w:rPr>
              <w:t>7</w:t>
            </w:r>
          </w:p>
        </w:tc>
        <w:tc>
          <w:tcPr>
            <w:tcW w:w="6058" w:type="dxa"/>
            <w:vMerge w:val="restart"/>
            <w:tcBorders>
              <w:top w:val="single" w:sz="4" w:space="0" w:color="auto"/>
              <w:left w:val="single" w:sz="4" w:space="0" w:color="auto"/>
              <w:bottom w:val="single" w:sz="4" w:space="0" w:color="auto"/>
              <w:right w:val="single" w:sz="4" w:space="0" w:color="auto"/>
            </w:tcBorders>
            <w:noWrap/>
          </w:tcPr>
          <w:p w:rsidR="005B5E82" w:rsidRDefault="00253F74">
            <w:pPr>
              <w:autoSpaceDE w:val="0"/>
              <w:autoSpaceDN w:val="0"/>
              <w:adjustRightInd w:val="0"/>
              <w:spacing w:line="232" w:lineRule="auto"/>
              <w:rPr>
                <w:rFonts w:ascii="Arial" w:hAnsi="Arial" w:cs="Arial"/>
                <w:b/>
                <w:sz w:val="22"/>
                <w:szCs w:val="22"/>
              </w:rPr>
            </w:pPr>
            <w:r>
              <w:rPr>
                <w:rFonts w:ascii="Arial" w:hAnsi="Arial" w:cs="Arial"/>
                <w:b/>
                <w:sz w:val="22"/>
                <w:szCs w:val="22"/>
              </w:rPr>
              <w:t xml:space="preserve">Објекти за </w:t>
            </w:r>
            <w:r>
              <w:rPr>
                <w:rFonts w:ascii="Arial" w:hAnsi="Arial" w:cs="Arial"/>
                <w:b/>
                <w:sz w:val="22"/>
                <w:szCs w:val="22"/>
              </w:rPr>
              <w:t>терцијална здравствена заштита</w:t>
            </w:r>
          </w:p>
          <w:p w:rsidR="005B5E82" w:rsidRDefault="00253F74">
            <w:pPr>
              <w:autoSpaceDE w:val="0"/>
              <w:autoSpaceDN w:val="0"/>
              <w:adjustRightInd w:val="0"/>
              <w:spacing w:line="232" w:lineRule="auto"/>
              <w:rPr>
                <w:rFonts w:ascii="Arial" w:hAnsi="Arial" w:cs="Arial"/>
                <w:sz w:val="22"/>
                <w:szCs w:val="22"/>
              </w:rPr>
            </w:pPr>
            <w:r>
              <w:rPr>
                <w:rFonts w:ascii="Arial" w:hAnsi="Arial" w:cs="Arial"/>
                <w:sz w:val="22"/>
                <w:szCs w:val="22"/>
              </w:rPr>
              <w:t>- сите простории</w:t>
            </w:r>
          </w:p>
        </w:tc>
        <w:tc>
          <w:tcPr>
            <w:tcW w:w="3073" w:type="dxa"/>
            <w:tcBorders>
              <w:top w:val="single" w:sz="4" w:space="0" w:color="auto"/>
              <w:left w:val="single" w:sz="4" w:space="0" w:color="auto"/>
              <w:bottom w:val="single" w:sz="4" w:space="0" w:color="auto"/>
              <w:right w:val="single" w:sz="4" w:space="0" w:color="auto"/>
            </w:tcBorders>
            <w:noWrap/>
            <w:vAlign w:val="center"/>
          </w:tcPr>
          <w:p w:rsidR="005B5E82" w:rsidRDefault="00253F74">
            <w:pPr>
              <w:pStyle w:val="Default"/>
              <w:spacing w:line="232" w:lineRule="auto"/>
              <w:jc w:val="center"/>
              <w:rPr>
                <w:sz w:val="22"/>
                <w:szCs w:val="22"/>
                <w:lang w:val="ru-RU"/>
              </w:rPr>
            </w:pPr>
            <w:r>
              <w:rPr>
                <w:sz w:val="22"/>
                <w:szCs w:val="22"/>
                <w:lang w:val="ru-RU"/>
              </w:rPr>
              <w:t>50 евра/м²</w:t>
            </w:r>
          </w:p>
        </w:tc>
      </w:tr>
      <w:tr w:rsidR="005B5E82">
        <w:trPr>
          <w:trHeight w:val="230"/>
        </w:trPr>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color w:val="000000"/>
                <w:spacing w:val="-6"/>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sz w:val="22"/>
                <w:szCs w:val="22"/>
              </w:rPr>
            </w:pPr>
          </w:p>
        </w:tc>
        <w:tc>
          <w:tcPr>
            <w:tcW w:w="3073" w:type="dxa"/>
            <w:tcBorders>
              <w:top w:val="single" w:sz="4" w:space="0" w:color="auto"/>
              <w:left w:val="single" w:sz="4" w:space="0" w:color="auto"/>
              <w:bottom w:val="single" w:sz="4" w:space="0" w:color="auto"/>
              <w:right w:val="single" w:sz="4" w:space="0" w:color="auto"/>
            </w:tcBorders>
            <w:noWrap/>
            <w:vAlign w:val="center"/>
          </w:tcPr>
          <w:p w:rsidR="005B5E82" w:rsidRDefault="00253F74">
            <w:pPr>
              <w:pStyle w:val="Default"/>
              <w:spacing w:line="232" w:lineRule="auto"/>
              <w:rPr>
                <w:sz w:val="22"/>
                <w:szCs w:val="22"/>
                <w:lang w:val="ru-RU"/>
              </w:rPr>
            </w:pPr>
            <w:r>
              <w:rPr>
                <w:sz w:val="22"/>
                <w:szCs w:val="22"/>
                <w:lang w:val="ru-RU"/>
              </w:rPr>
              <w:t>Коефициент 0,05</w:t>
            </w:r>
          </w:p>
        </w:tc>
      </w:tr>
      <w:tr w:rsidR="005B5E82">
        <w:trPr>
          <w:trHeight w:val="264"/>
        </w:trPr>
        <w:tc>
          <w:tcPr>
            <w:tcW w:w="420"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spacing w:val="-6"/>
                <w:sz w:val="22"/>
                <w:szCs w:val="22"/>
                <w:lang w:val="ru-RU"/>
              </w:rPr>
            </w:pPr>
            <w:r>
              <w:rPr>
                <w:spacing w:val="-6"/>
                <w:sz w:val="22"/>
                <w:szCs w:val="22"/>
                <w:lang w:val="ru-RU"/>
              </w:rPr>
              <w:t>8</w:t>
            </w:r>
          </w:p>
        </w:tc>
        <w:tc>
          <w:tcPr>
            <w:tcW w:w="6058" w:type="dxa"/>
            <w:vMerge w:val="restart"/>
            <w:tcBorders>
              <w:top w:val="single" w:sz="4" w:space="0" w:color="auto"/>
              <w:left w:val="single" w:sz="4" w:space="0" w:color="auto"/>
              <w:bottom w:val="single" w:sz="4" w:space="0" w:color="auto"/>
              <w:right w:val="single" w:sz="4" w:space="0" w:color="auto"/>
            </w:tcBorders>
            <w:noWrap/>
          </w:tcPr>
          <w:p w:rsidR="005B5E82" w:rsidRDefault="00253F74">
            <w:pPr>
              <w:autoSpaceDE w:val="0"/>
              <w:autoSpaceDN w:val="0"/>
              <w:adjustRightInd w:val="0"/>
              <w:spacing w:line="232" w:lineRule="auto"/>
              <w:rPr>
                <w:rFonts w:ascii="Arial" w:hAnsi="Arial" w:cs="Arial"/>
                <w:sz w:val="22"/>
                <w:szCs w:val="22"/>
              </w:rPr>
            </w:pPr>
            <w:r>
              <w:rPr>
                <w:rFonts w:ascii="Arial" w:hAnsi="Arial" w:cs="Arial"/>
                <w:sz w:val="22"/>
                <w:szCs w:val="22"/>
              </w:rPr>
              <w:t>Објекти за производство на електрична енергија од</w:t>
            </w:r>
          </w:p>
          <w:p w:rsidR="005B5E82" w:rsidRDefault="00253F74">
            <w:pPr>
              <w:autoSpaceDE w:val="0"/>
              <w:autoSpaceDN w:val="0"/>
              <w:adjustRightInd w:val="0"/>
              <w:spacing w:line="232" w:lineRule="auto"/>
              <w:rPr>
                <w:rFonts w:ascii="Arial" w:hAnsi="Arial" w:cs="Arial"/>
                <w:sz w:val="22"/>
                <w:szCs w:val="22"/>
              </w:rPr>
            </w:pPr>
            <w:r>
              <w:rPr>
                <w:rFonts w:ascii="Arial" w:hAnsi="Arial" w:cs="Arial"/>
                <w:b/>
                <w:sz w:val="22"/>
                <w:szCs w:val="22"/>
              </w:rPr>
              <w:t>ОБНОВЛИВИ ИЗВОРИ НА ЕНЕРГИЈА</w:t>
            </w:r>
            <w:r>
              <w:rPr>
                <w:rFonts w:ascii="Arial" w:hAnsi="Arial" w:cs="Arial"/>
                <w:sz w:val="22"/>
                <w:szCs w:val="22"/>
              </w:rPr>
              <w:t xml:space="preserve"> – до 1 MW</w:t>
            </w:r>
          </w:p>
          <w:p w:rsidR="005B5E82" w:rsidRDefault="00253F74">
            <w:pPr>
              <w:pStyle w:val="Default"/>
              <w:spacing w:line="232" w:lineRule="auto"/>
              <w:ind w:left="238" w:hanging="238"/>
              <w:rPr>
                <w:rFonts w:ascii="TTE24E62F8t00" w:hAnsi="TTE24E62F8t00" w:cs="TTE24E62F8t00"/>
                <w:sz w:val="22"/>
                <w:szCs w:val="22"/>
                <w:lang w:val="ru-RU"/>
              </w:rPr>
            </w:pPr>
            <w:r>
              <w:rPr>
                <w:sz w:val="22"/>
                <w:szCs w:val="22"/>
                <w:lang w:val="ru-RU"/>
              </w:rPr>
              <w:t xml:space="preserve">-  </w:t>
            </w:r>
            <w:r>
              <w:rPr>
                <w:sz w:val="22"/>
                <w:szCs w:val="22"/>
                <w:lang w:val="ru-RU"/>
              </w:rPr>
              <w:t xml:space="preserve">површината под објекти за производство на електрична енергија и под фотоволтаични панели </w:t>
            </w:r>
          </w:p>
          <w:p w:rsidR="005B5E82" w:rsidRDefault="00253F74">
            <w:pPr>
              <w:pStyle w:val="Default"/>
              <w:tabs>
                <w:tab w:val="left" w:pos="262"/>
              </w:tabs>
              <w:spacing w:before="20" w:line="232" w:lineRule="auto"/>
              <w:ind w:left="262" w:hanging="262"/>
              <w:rPr>
                <w:sz w:val="22"/>
                <w:szCs w:val="22"/>
                <w:lang w:val="ru-RU"/>
              </w:rPr>
            </w:pPr>
            <w:r>
              <w:rPr>
                <w:sz w:val="22"/>
                <w:szCs w:val="22"/>
                <w:lang w:val="ru-RU"/>
              </w:rPr>
              <w:t>-  останати простории/содржини на компатибилните намени</w:t>
            </w:r>
          </w:p>
        </w:tc>
        <w:tc>
          <w:tcPr>
            <w:tcW w:w="3073" w:type="dxa"/>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center"/>
              <w:rPr>
                <w:sz w:val="22"/>
                <w:szCs w:val="22"/>
                <w:lang w:val="ru-RU"/>
              </w:rPr>
            </w:pPr>
            <w:r>
              <w:rPr>
                <w:sz w:val="22"/>
                <w:szCs w:val="22"/>
                <w:lang w:val="ru-RU"/>
              </w:rPr>
              <w:t>50 евра./м²</w:t>
            </w:r>
          </w:p>
        </w:tc>
      </w:tr>
      <w:tr w:rsidR="005B5E82">
        <w:trPr>
          <w:trHeight w:val="780"/>
        </w:trPr>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color w:val="000000"/>
                <w:spacing w:val="-6"/>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TTE24E62F8t00" w:hAnsi="TTE24E62F8t00" w:cs="TTE24E62F8t00"/>
                <w:color w:val="000000"/>
                <w:sz w:val="22"/>
                <w:szCs w:val="22"/>
                <w:lang w:val="ru-RU"/>
              </w:rPr>
            </w:pPr>
          </w:p>
        </w:tc>
        <w:tc>
          <w:tcPr>
            <w:tcW w:w="3073" w:type="dxa"/>
            <w:tcBorders>
              <w:top w:val="single" w:sz="4" w:space="0" w:color="auto"/>
              <w:left w:val="single" w:sz="4" w:space="0" w:color="auto"/>
              <w:bottom w:val="single" w:sz="4" w:space="0" w:color="auto"/>
              <w:right w:val="single" w:sz="4" w:space="0" w:color="auto"/>
            </w:tcBorders>
            <w:noWrap/>
          </w:tcPr>
          <w:p w:rsidR="005B5E82" w:rsidRDefault="005B5E82">
            <w:pPr>
              <w:pStyle w:val="Default"/>
              <w:spacing w:line="232" w:lineRule="auto"/>
              <w:ind w:left="117" w:hanging="117"/>
              <w:rPr>
                <w:rFonts w:ascii="Calibri" w:hAnsi="Calibri"/>
                <w:sz w:val="22"/>
                <w:szCs w:val="22"/>
              </w:rPr>
            </w:pPr>
          </w:p>
          <w:p w:rsidR="005B5E82" w:rsidRDefault="00253F74">
            <w:pPr>
              <w:pStyle w:val="Default"/>
              <w:spacing w:line="232" w:lineRule="auto"/>
              <w:ind w:left="117" w:hanging="117"/>
              <w:rPr>
                <w:rFonts w:ascii="Calibri" w:hAnsi="Calibri"/>
                <w:sz w:val="22"/>
                <w:szCs w:val="22"/>
              </w:rPr>
            </w:pPr>
            <w:r>
              <w:rPr>
                <w:sz w:val="22"/>
                <w:szCs w:val="22"/>
                <w:lang w:val="ru-RU"/>
              </w:rPr>
              <w:t>Коефициент 0,</w:t>
            </w:r>
            <w:r>
              <w:rPr>
                <w:sz w:val="22"/>
                <w:szCs w:val="22"/>
              </w:rPr>
              <w:t>046</w:t>
            </w:r>
          </w:p>
          <w:p w:rsidR="005B5E82" w:rsidRDefault="005B5E82">
            <w:pPr>
              <w:pStyle w:val="Default"/>
              <w:spacing w:line="232" w:lineRule="auto"/>
              <w:ind w:left="117" w:hanging="117"/>
              <w:rPr>
                <w:rFonts w:ascii="TTE24E62F8t00" w:hAnsi="TTE24E62F8t00"/>
                <w:sz w:val="22"/>
                <w:szCs w:val="22"/>
                <w:lang w:val="ru-RU"/>
              </w:rPr>
            </w:pPr>
          </w:p>
          <w:p w:rsidR="005B5E82" w:rsidRDefault="00253F74">
            <w:pPr>
              <w:pStyle w:val="Default"/>
              <w:spacing w:before="20" w:line="232" w:lineRule="auto"/>
              <w:rPr>
                <w:sz w:val="22"/>
                <w:szCs w:val="22"/>
                <w:lang w:val="ru-RU"/>
              </w:rPr>
            </w:pPr>
            <w:r>
              <w:rPr>
                <w:sz w:val="22"/>
                <w:szCs w:val="22"/>
                <w:lang w:val="ru-RU"/>
              </w:rPr>
              <w:t xml:space="preserve">Коефициенти согласно Правилникот за степенот </w:t>
            </w:r>
            <w:r>
              <w:rPr>
                <w:spacing w:val="-4"/>
                <w:sz w:val="22"/>
                <w:szCs w:val="22"/>
                <w:lang w:val="ru-RU"/>
              </w:rPr>
              <w:t>на уредување на градежно</w:t>
            </w:r>
            <w:r>
              <w:rPr>
                <w:sz w:val="22"/>
                <w:szCs w:val="22"/>
                <w:lang w:val="ru-RU"/>
              </w:rPr>
              <w:t xml:space="preserve"> земјиште со објекти од </w:t>
            </w:r>
            <w:r>
              <w:rPr>
                <w:spacing w:val="-4"/>
                <w:sz w:val="22"/>
                <w:szCs w:val="22"/>
                <w:lang w:val="ru-RU"/>
              </w:rPr>
              <w:t>комунална инфраструктура</w:t>
            </w:r>
          </w:p>
        </w:tc>
      </w:tr>
      <w:tr w:rsidR="005B5E82">
        <w:trPr>
          <w:trHeight w:val="165"/>
        </w:trPr>
        <w:tc>
          <w:tcPr>
            <w:tcW w:w="420"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spacing w:val="-6"/>
                <w:sz w:val="22"/>
                <w:szCs w:val="22"/>
                <w:lang w:val="ru-RU"/>
              </w:rPr>
            </w:pPr>
            <w:r>
              <w:rPr>
                <w:spacing w:val="-6"/>
                <w:sz w:val="22"/>
                <w:szCs w:val="22"/>
                <w:lang w:val="ru-RU"/>
              </w:rPr>
              <w:t>9</w:t>
            </w:r>
          </w:p>
        </w:tc>
        <w:tc>
          <w:tcPr>
            <w:tcW w:w="6058" w:type="dxa"/>
            <w:vMerge w:val="restart"/>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b/>
                <w:bCs/>
                <w:iCs/>
                <w:sz w:val="22"/>
                <w:szCs w:val="22"/>
                <w:lang w:val="ru-RU"/>
              </w:rPr>
            </w:pPr>
            <w:r>
              <w:rPr>
                <w:b/>
                <w:sz w:val="22"/>
                <w:szCs w:val="22"/>
              </w:rPr>
              <w:t>Фотоволтаични панели поставени на објекти</w:t>
            </w:r>
          </w:p>
        </w:tc>
        <w:tc>
          <w:tcPr>
            <w:tcW w:w="3073" w:type="dxa"/>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center"/>
              <w:rPr>
                <w:sz w:val="22"/>
                <w:szCs w:val="22"/>
                <w:lang w:val="ru-RU"/>
              </w:rPr>
            </w:pPr>
            <w:r>
              <w:rPr>
                <w:sz w:val="22"/>
                <w:szCs w:val="22"/>
                <w:lang w:val="ru-RU"/>
              </w:rPr>
              <w:t>50евра /м²</w:t>
            </w:r>
          </w:p>
        </w:tc>
      </w:tr>
      <w:tr w:rsidR="005B5E82">
        <w:trPr>
          <w:trHeight w:val="165"/>
        </w:trPr>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color w:val="000000"/>
                <w:spacing w:val="-6"/>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5B5E82" w:rsidRDefault="005B5E82">
            <w:pPr>
              <w:rPr>
                <w:rFonts w:ascii="Arial" w:hAnsi="Arial" w:cs="Arial"/>
                <w:b/>
                <w:bCs/>
                <w:iCs/>
                <w:color w:val="000000"/>
                <w:sz w:val="22"/>
                <w:szCs w:val="22"/>
                <w:lang w:val="ru-RU"/>
              </w:rPr>
            </w:pPr>
          </w:p>
        </w:tc>
        <w:tc>
          <w:tcPr>
            <w:tcW w:w="3073" w:type="dxa"/>
            <w:tcBorders>
              <w:top w:val="single" w:sz="4" w:space="0" w:color="auto"/>
              <w:left w:val="single" w:sz="4" w:space="0" w:color="auto"/>
              <w:bottom w:val="single" w:sz="4" w:space="0" w:color="auto"/>
              <w:right w:val="single" w:sz="4" w:space="0" w:color="auto"/>
            </w:tcBorders>
            <w:noWrap/>
          </w:tcPr>
          <w:p w:rsidR="005B5E82" w:rsidRDefault="00253F74">
            <w:pPr>
              <w:pStyle w:val="Default"/>
              <w:spacing w:before="30" w:after="30" w:line="232" w:lineRule="auto"/>
              <w:rPr>
                <w:sz w:val="22"/>
                <w:szCs w:val="22"/>
              </w:rPr>
            </w:pPr>
            <w:r>
              <w:rPr>
                <w:sz w:val="22"/>
                <w:szCs w:val="22"/>
                <w:lang w:val="ru-RU"/>
              </w:rPr>
              <w:t>Коефициент: 0,</w:t>
            </w:r>
            <w:r>
              <w:rPr>
                <w:sz w:val="22"/>
                <w:szCs w:val="22"/>
              </w:rPr>
              <w:t>046</w:t>
            </w:r>
          </w:p>
        </w:tc>
      </w:tr>
      <w:tr w:rsidR="005B5E82">
        <w:trPr>
          <w:trHeight w:val="165"/>
        </w:trPr>
        <w:tc>
          <w:tcPr>
            <w:tcW w:w="420" w:type="dxa"/>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spacing w:val="-6"/>
                <w:sz w:val="22"/>
                <w:szCs w:val="22"/>
                <w:lang w:val="ru-RU"/>
              </w:rPr>
            </w:pPr>
            <w:r>
              <w:rPr>
                <w:spacing w:val="-6"/>
                <w:sz w:val="22"/>
                <w:szCs w:val="22"/>
                <w:lang w:val="ru-RU"/>
              </w:rPr>
              <w:t>10</w:t>
            </w:r>
          </w:p>
        </w:tc>
        <w:tc>
          <w:tcPr>
            <w:tcW w:w="6058" w:type="dxa"/>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rFonts w:ascii="Arial Bold" w:hAnsi="Arial Bold"/>
                <w:sz w:val="22"/>
                <w:szCs w:val="22"/>
                <w:lang w:val="ru-RU"/>
              </w:rPr>
            </w:pPr>
            <w:r>
              <w:rPr>
                <w:rFonts w:ascii="Arial Bold" w:hAnsi="Arial Bold"/>
                <w:b/>
                <w:bCs/>
                <w:iCs/>
                <w:sz w:val="22"/>
                <w:szCs w:val="22"/>
                <w:lang w:val="ru-RU"/>
              </w:rPr>
              <w:t>Инфраструктурни објекти</w:t>
            </w:r>
          </w:p>
        </w:tc>
        <w:tc>
          <w:tcPr>
            <w:tcW w:w="3073" w:type="dxa"/>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center"/>
              <w:rPr>
                <w:sz w:val="22"/>
                <w:szCs w:val="22"/>
                <w:lang w:val="ru-RU"/>
              </w:rPr>
            </w:pPr>
            <w:r>
              <w:rPr>
                <w:sz w:val="22"/>
                <w:szCs w:val="22"/>
                <w:lang w:val="ru-RU"/>
              </w:rPr>
              <w:t>10,00 ден/м'</w:t>
            </w:r>
          </w:p>
          <w:p w:rsidR="005B5E82" w:rsidRDefault="00253F74">
            <w:pPr>
              <w:pStyle w:val="Default"/>
              <w:spacing w:line="232" w:lineRule="auto"/>
              <w:jc w:val="center"/>
              <w:rPr>
                <w:spacing w:val="-6"/>
                <w:sz w:val="22"/>
                <w:szCs w:val="22"/>
                <w:lang w:val="ru-RU"/>
              </w:rPr>
            </w:pPr>
            <w:r>
              <w:rPr>
                <w:sz w:val="22"/>
                <w:szCs w:val="22"/>
                <w:lang w:val="ru-RU"/>
              </w:rPr>
              <w:t>615,00 ден/м²</w:t>
            </w:r>
          </w:p>
        </w:tc>
      </w:tr>
      <w:tr w:rsidR="005B5E82">
        <w:trPr>
          <w:trHeight w:val="165"/>
        </w:trPr>
        <w:tc>
          <w:tcPr>
            <w:tcW w:w="420" w:type="dxa"/>
            <w:tcBorders>
              <w:top w:val="single" w:sz="4" w:space="0" w:color="auto"/>
              <w:left w:val="single" w:sz="4" w:space="0" w:color="auto"/>
              <w:bottom w:val="single" w:sz="4" w:space="0" w:color="auto"/>
              <w:right w:val="single" w:sz="4" w:space="0" w:color="auto"/>
            </w:tcBorders>
            <w:noWrap/>
          </w:tcPr>
          <w:p w:rsidR="005B5E82" w:rsidRDefault="005B5E82">
            <w:pPr>
              <w:pStyle w:val="Default"/>
              <w:spacing w:line="232" w:lineRule="auto"/>
              <w:jc w:val="both"/>
              <w:rPr>
                <w:spacing w:val="-6"/>
                <w:sz w:val="22"/>
                <w:szCs w:val="22"/>
                <w:lang w:val="ru-RU"/>
              </w:rPr>
            </w:pPr>
          </w:p>
          <w:p w:rsidR="005B5E82" w:rsidRDefault="005B5E82">
            <w:pPr>
              <w:pStyle w:val="Default"/>
              <w:spacing w:line="232" w:lineRule="auto"/>
              <w:jc w:val="both"/>
              <w:rPr>
                <w:spacing w:val="-6"/>
                <w:sz w:val="22"/>
                <w:szCs w:val="22"/>
                <w:lang w:val="ru-RU"/>
              </w:rPr>
            </w:pPr>
          </w:p>
        </w:tc>
        <w:tc>
          <w:tcPr>
            <w:tcW w:w="6058" w:type="dxa"/>
            <w:tcBorders>
              <w:top w:val="single" w:sz="4" w:space="0" w:color="auto"/>
              <w:left w:val="single" w:sz="4" w:space="0" w:color="auto"/>
              <w:bottom w:val="single" w:sz="4" w:space="0" w:color="auto"/>
              <w:right w:val="single" w:sz="4" w:space="0" w:color="auto"/>
            </w:tcBorders>
            <w:noWrap/>
          </w:tcPr>
          <w:p w:rsidR="005B5E82" w:rsidRDefault="005B5E82">
            <w:pPr>
              <w:spacing w:line="232" w:lineRule="auto"/>
              <w:rPr>
                <w:rFonts w:ascii="Arial" w:hAnsi="Arial" w:cs="Arial"/>
                <w:color w:val="000000"/>
                <w:spacing w:val="-6"/>
                <w:sz w:val="22"/>
                <w:szCs w:val="22"/>
                <w:lang w:val="ru-RU"/>
              </w:rPr>
            </w:pPr>
          </w:p>
          <w:p w:rsidR="005B5E82" w:rsidRDefault="005B5E82">
            <w:pPr>
              <w:pStyle w:val="Default"/>
              <w:spacing w:line="232" w:lineRule="auto"/>
              <w:jc w:val="both"/>
              <w:rPr>
                <w:spacing w:val="-6"/>
                <w:sz w:val="22"/>
                <w:szCs w:val="22"/>
                <w:lang w:val="ru-RU"/>
              </w:rPr>
            </w:pPr>
          </w:p>
        </w:tc>
        <w:tc>
          <w:tcPr>
            <w:tcW w:w="3073" w:type="dxa"/>
            <w:tcBorders>
              <w:top w:val="single" w:sz="4" w:space="0" w:color="auto"/>
              <w:left w:val="single" w:sz="4" w:space="0" w:color="auto"/>
              <w:bottom w:val="single" w:sz="4" w:space="0" w:color="auto"/>
              <w:right w:val="single" w:sz="4" w:space="0" w:color="auto"/>
            </w:tcBorders>
            <w:noWrap/>
          </w:tcPr>
          <w:p w:rsidR="005B5E82" w:rsidRDefault="00253F74">
            <w:pPr>
              <w:pStyle w:val="Default"/>
              <w:widowControl w:val="0"/>
              <w:numPr>
                <w:ilvl w:val="0"/>
                <w:numId w:val="5"/>
              </w:numPr>
              <w:spacing w:line="232" w:lineRule="auto"/>
              <w:ind w:left="117" w:hanging="83"/>
              <w:rPr>
                <w:color w:val="auto"/>
                <w:sz w:val="22"/>
                <w:szCs w:val="22"/>
                <w:lang w:val="ru-RU"/>
              </w:rPr>
            </w:pPr>
            <w:r>
              <w:rPr>
                <w:color w:val="auto"/>
                <w:sz w:val="22"/>
                <w:szCs w:val="22"/>
                <w:lang w:val="ru-RU"/>
              </w:rPr>
              <w:t>Коефициент 1,0</w:t>
            </w:r>
          </w:p>
          <w:p w:rsidR="005B5E82" w:rsidRDefault="00253F74">
            <w:pPr>
              <w:pStyle w:val="Default"/>
              <w:widowControl w:val="0"/>
              <w:numPr>
                <w:ilvl w:val="0"/>
                <w:numId w:val="5"/>
              </w:numPr>
              <w:spacing w:line="232" w:lineRule="auto"/>
              <w:ind w:left="117" w:hanging="83"/>
              <w:rPr>
                <w:color w:val="auto"/>
                <w:sz w:val="22"/>
                <w:szCs w:val="22"/>
                <w:lang w:val="ru-RU"/>
              </w:rPr>
            </w:pPr>
            <w:r>
              <w:rPr>
                <w:color w:val="auto"/>
                <w:sz w:val="22"/>
                <w:szCs w:val="22"/>
                <w:lang w:val="ru-RU"/>
              </w:rPr>
              <w:t xml:space="preserve">Коефициенти согласно правилникот за степенот </w:t>
            </w:r>
            <w:r>
              <w:rPr>
                <w:color w:val="auto"/>
                <w:spacing w:val="-4"/>
                <w:sz w:val="22"/>
                <w:szCs w:val="22"/>
                <w:lang w:val="ru-RU"/>
              </w:rPr>
              <w:t xml:space="preserve">на </w:t>
            </w:r>
            <w:r>
              <w:rPr>
                <w:color w:val="auto"/>
                <w:spacing w:val="-4"/>
                <w:sz w:val="22"/>
                <w:szCs w:val="22"/>
                <w:lang w:val="ru-RU"/>
              </w:rPr>
              <w:t>уредување на градежно</w:t>
            </w:r>
            <w:r>
              <w:rPr>
                <w:color w:val="auto"/>
                <w:sz w:val="22"/>
                <w:szCs w:val="22"/>
                <w:lang w:val="ru-RU"/>
              </w:rPr>
              <w:t xml:space="preserve"> земјиште со објекти од комунана инфраструктура</w:t>
            </w:r>
          </w:p>
        </w:tc>
      </w:tr>
      <w:tr w:rsidR="005B5E82">
        <w:trPr>
          <w:trHeight w:val="165"/>
        </w:trPr>
        <w:tc>
          <w:tcPr>
            <w:tcW w:w="420" w:type="dxa"/>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spacing w:val="-6"/>
                <w:sz w:val="22"/>
                <w:szCs w:val="22"/>
                <w:lang w:val="ru-RU"/>
              </w:rPr>
            </w:pPr>
            <w:r>
              <w:rPr>
                <w:spacing w:val="-6"/>
                <w:sz w:val="22"/>
                <w:szCs w:val="22"/>
                <w:lang w:val="ru-RU"/>
              </w:rPr>
              <w:t>11</w:t>
            </w:r>
          </w:p>
        </w:tc>
        <w:tc>
          <w:tcPr>
            <w:tcW w:w="9131" w:type="dxa"/>
            <w:gridSpan w:val="2"/>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color w:val="auto"/>
                <w:sz w:val="22"/>
                <w:szCs w:val="22"/>
                <w:lang w:val="ru-RU"/>
              </w:rPr>
            </w:pPr>
            <w:r>
              <w:rPr>
                <w:color w:val="auto"/>
                <w:sz w:val="22"/>
                <w:szCs w:val="22"/>
              </w:rPr>
              <w:t xml:space="preserve">За агро берзи, откупно дистрибутивни центри или пазари, висината на трошоците за уредување на градежното земјиште, во зависност од степенот на уреденост на </w:t>
            </w:r>
            <w:r>
              <w:rPr>
                <w:color w:val="auto"/>
                <w:spacing w:val="-4"/>
                <w:sz w:val="22"/>
                <w:szCs w:val="22"/>
              </w:rPr>
              <w:t xml:space="preserve">градежното земјиште, се </w:t>
            </w:r>
            <w:r>
              <w:rPr>
                <w:color w:val="auto"/>
                <w:spacing w:val="-4"/>
                <w:sz w:val="22"/>
                <w:szCs w:val="22"/>
              </w:rPr>
              <w:t>пресметува на 50% од вкупно пресметаната површина согласно</w:t>
            </w:r>
            <w:r>
              <w:rPr>
                <w:color w:val="auto"/>
                <w:sz w:val="22"/>
                <w:szCs w:val="22"/>
                <w:lang w:val="mk-MK"/>
              </w:rPr>
              <w:t>точките1 и 2</w:t>
            </w:r>
            <w:r>
              <w:rPr>
                <w:color w:val="auto"/>
                <w:sz w:val="22"/>
                <w:szCs w:val="22"/>
              </w:rPr>
              <w:t>.</w:t>
            </w:r>
          </w:p>
        </w:tc>
      </w:tr>
      <w:tr w:rsidR="005B5E82">
        <w:trPr>
          <w:trHeight w:val="165"/>
        </w:trPr>
        <w:tc>
          <w:tcPr>
            <w:tcW w:w="420" w:type="dxa"/>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spacing w:val="-6"/>
                <w:sz w:val="22"/>
                <w:szCs w:val="22"/>
                <w:lang w:val="ru-RU"/>
              </w:rPr>
            </w:pPr>
            <w:r>
              <w:rPr>
                <w:spacing w:val="-6"/>
                <w:sz w:val="22"/>
                <w:szCs w:val="22"/>
                <w:lang w:val="ru-RU"/>
              </w:rPr>
              <w:t>12</w:t>
            </w:r>
          </w:p>
        </w:tc>
        <w:tc>
          <w:tcPr>
            <w:tcW w:w="9131" w:type="dxa"/>
            <w:gridSpan w:val="2"/>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color w:val="auto"/>
                <w:sz w:val="22"/>
                <w:szCs w:val="22"/>
              </w:rPr>
            </w:pPr>
            <w:r>
              <w:rPr>
                <w:color w:val="auto"/>
                <w:sz w:val="22"/>
                <w:szCs w:val="22"/>
              </w:rPr>
              <w:t xml:space="preserve">За линиски инфраструктурни објекти - државни патишта, локални патишта и улици, </w:t>
            </w:r>
            <w:r>
              <w:rPr>
                <w:color w:val="auto"/>
                <w:spacing w:val="-4"/>
                <w:sz w:val="22"/>
                <w:szCs w:val="22"/>
              </w:rPr>
              <w:t>магистрални улици, собирни улици, водоводи, канализации, железнички пруги, гасоводи,</w:t>
            </w:r>
            <w:r>
              <w:rPr>
                <w:color w:val="auto"/>
                <w:spacing w:val="-2"/>
                <w:sz w:val="22"/>
                <w:szCs w:val="22"/>
              </w:rPr>
              <w:t xml:space="preserve">топловоди, </w:t>
            </w:r>
            <w:r>
              <w:rPr>
                <w:color w:val="auto"/>
                <w:spacing w:val="-2"/>
                <w:sz w:val="22"/>
                <w:szCs w:val="22"/>
              </w:rPr>
              <w:t xml:space="preserve">далноводи со напонско ниво од и над 35 КW како и за брани со акумулации,термоцентрали, езерски и речни </w:t>
            </w:r>
            <w:r>
              <w:rPr>
                <w:color w:val="auto"/>
                <w:spacing w:val="-2"/>
                <w:sz w:val="22"/>
                <w:szCs w:val="22"/>
              </w:rPr>
              <w:lastRenderedPageBreak/>
              <w:t>пристаништа и за доградби и надградби на објекти за</w:t>
            </w:r>
            <w:r>
              <w:rPr>
                <w:color w:val="auto"/>
                <w:sz w:val="22"/>
                <w:szCs w:val="22"/>
              </w:rPr>
              <w:t xml:space="preserve"> кои е донесена одлука од страна на советот на општината, советот на општината во </w:t>
            </w:r>
            <w:r>
              <w:rPr>
                <w:color w:val="auto"/>
                <w:spacing w:val="-2"/>
                <w:sz w:val="22"/>
                <w:szCs w:val="22"/>
              </w:rPr>
              <w:t>градот Скопје односн</w:t>
            </w:r>
            <w:r>
              <w:rPr>
                <w:color w:val="auto"/>
                <w:spacing w:val="-2"/>
                <w:sz w:val="22"/>
                <w:szCs w:val="22"/>
              </w:rPr>
              <w:t xml:space="preserve">о советот на градот Скопје согласно член 67-а став (1) од Законот </w:t>
            </w:r>
            <w:r>
              <w:rPr>
                <w:color w:val="auto"/>
                <w:sz w:val="22"/>
                <w:szCs w:val="22"/>
              </w:rPr>
              <w:t xml:space="preserve">за градење, а инвеститор е општината, општината во градот Скопје </w:t>
            </w:r>
            <w:r>
              <w:rPr>
                <w:color w:val="auto"/>
                <w:spacing w:val="-3"/>
                <w:sz w:val="22"/>
                <w:szCs w:val="22"/>
              </w:rPr>
              <w:t>односно градот Скопје, не се утврдуваат трошоци за уредување на градежно земјиште.</w:t>
            </w:r>
          </w:p>
        </w:tc>
      </w:tr>
      <w:tr w:rsidR="005B5E82">
        <w:trPr>
          <w:trHeight w:val="165"/>
        </w:trPr>
        <w:tc>
          <w:tcPr>
            <w:tcW w:w="420" w:type="dxa"/>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spacing w:val="-6"/>
                <w:sz w:val="22"/>
                <w:szCs w:val="22"/>
                <w:lang w:val="ru-RU"/>
              </w:rPr>
            </w:pPr>
            <w:r>
              <w:rPr>
                <w:spacing w:val="-6"/>
                <w:sz w:val="22"/>
                <w:szCs w:val="22"/>
                <w:lang w:val="ru-RU"/>
              </w:rPr>
              <w:lastRenderedPageBreak/>
              <w:t>13</w:t>
            </w:r>
          </w:p>
        </w:tc>
        <w:tc>
          <w:tcPr>
            <w:tcW w:w="9131" w:type="dxa"/>
            <w:gridSpan w:val="2"/>
            <w:tcBorders>
              <w:top w:val="single" w:sz="4" w:space="0" w:color="auto"/>
              <w:left w:val="single" w:sz="4" w:space="0" w:color="auto"/>
              <w:bottom w:val="single" w:sz="4" w:space="0" w:color="auto"/>
              <w:right w:val="single" w:sz="4" w:space="0" w:color="auto"/>
            </w:tcBorders>
            <w:noWrap/>
          </w:tcPr>
          <w:p w:rsidR="005B5E82" w:rsidRDefault="00253F74">
            <w:pPr>
              <w:pStyle w:val="Default"/>
              <w:spacing w:line="232" w:lineRule="auto"/>
              <w:jc w:val="both"/>
              <w:rPr>
                <w:color w:val="auto"/>
                <w:sz w:val="22"/>
                <w:szCs w:val="22"/>
              </w:rPr>
            </w:pPr>
            <w:r>
              <w:rPr>
                <w:color w:val="auto"/>
                <w:sz w:val="22"/>
                <w:szCs w:val="22"/>
              </w:rPr>
              <w:t>Доколку со изградбата на објекти е пре</w:t>
            </w:r>
            <w:r>
              <w:rPr>
                <w:color w:val="auto"/>
                <w:sz w:val="22"/>
                <w:szCs w:val="22"/>
              </w:rPr>
              <w:t>двидено отстранување на постоечки објекти запишани во имотен лист кои се наоѓаат на истата градежна парцела, при пресметувањето на висината на трошоците за уредување на градежното земјиште, од новата корисна површина се одбива површината утврдена во имотни</w:t>
            </w:r>
            <w:r>
              <w:rPr>
                <w:color w:val="auto"/>
                <w:sz w:val="22"/>
                <w:szCs w:val="22"/>
              </w:rPr>
              <w:t>от лист на постоечките објекти кои ќе се отстранат со изградбата на новите објекти</w:t>
            </w:r>
          </w:p>
        </w:tc>
      </w:tr>
    </w:tbl>
    <w:p w:rsidR="005B5E82" w:rsidRDefault="005B5E82">
      <w:pPr>
        <w:ind w:left="735"/>
        <w:jc w:val="both"/>
        <w:rPr>
          <w:rFonts w:ascii="M_Times" w:hAnsi="M_Times"/>
          <w:bCs/>
          <w:lang w:val="en-US"/>
        </w:rPr>
      </w:pPr>
    </w:p>
    <w:p w:rsidR="005B5E82" w:rsidRDefault="005B5E82">
      <w:pPr>
        <w:ind w:firstLine="720"/>
        <w:jc w:val="both"/>
        <w:rPr>
          <w:rFonts w:ascii="M_Times" w:hAnsi="M_Times"/>
          <w:bCs/>
          <w:lang w:val="en-US"/>
        </w:rPr>
      </w:pPr>
    </w:p>
    <w:p w:rsidR="005B5E82" w:rsidRDefault="00253F74">
      <w:pPr>
        <w:jc w:val="both"/>
        <w:rPr>
          <w:rFonts w:ascii="Arial" w:hAnsi="Arial" w:cs="Arial"/>
          <w:sz w:val="22"/>
          <w:szCs w:val="22"/>
          <w:lang w:val="mk-MK"/>
        </w:rPr>
      </w:pPr>
      <w:r>
        <w:rPr>
          <w:rFonts w:ascii="Arial" w:hAnsi="Arial" w:cs="Arial"/>
          <w:b/>
          <w:bCs/>
          <w:sz w:val="22"/>
          <w:szCs w:val="22"/>
          <w:lang w:val="mk-MK"/>
        </w:rPr>
        <w:t xml:space="preserve">Подрум - </w:t>
      </w:r>
      <w:r>
        <w:rPr>
          <w:rFonts w:ascii="Arial" w:hAnsi="Arial" w:cs="Arial"/>
          <w:sz w:val="22"/>
          <w:szCs w:val="22"/>
          <w:lang w:val="mk-MK"/>
        </w:rPr>
        <w:t>претставува ниво на објектот кој е целосно вкопан во земјата или цоклето на приземјето е до 1м нас теренот, а кај закосените терени до 65цм. Страничните површини</w:t>
      </w:r>
      <w:r>
        <w:rPr>
          <w:rFonts w:ascii="Arial" w:hAnsi="Arial" w:cs="Arial"/>
          <w:sz w:val="22"/>
          <w:szCs w:val="22"/>
          <w:lang w:val="mk-MK"/>
        </w:rPr>
        <w:t xml:space="preserve"> да се вкопани.</w:t>
      </w:r>
    </w:p>
    <w:p w:rsidR="005B5E82" w:rsidRDefault="00253F74">
      <w:pPr>
        <w:jc w:val="both"/>
        <w:rPr>
          <w:rFonts w:ascii="Arial" w:hAnsi="Arial" w:cs="Arial"/>
          <w:sz w:val="22"/>
          <w:szCs w:val="22"/>
          <w:lang w:val="mk-MK"/>
        </w:rPr>
      </w:pPr>
      <w:r>
        <w:rPr>
          <w:rFonts w:ascii="Arial" w:hAnsi="Arial" w:cs="Arial"/>
          <w:b/>
          <w:bCs/>
          <w:sz w:val="22"/>
          <w:szCs w:val="22"/>
          <w:lang w:val="mk-MK"/>
        </w:rPr>
        <w:t xml:space="preserve">Приземје - </w:t>
      </w:r>
      <w:r>
        <w:rPr>
          <w:rFonts w:ascii="Arial" w:hAnsi="Arial" w:cs="Arial"/>
          <w:sz w:val="22"/>
          <w:szCs w:val="22"/>
          <w:lang w:val="mk-MK"/>
        </w:rPr>
        <w:t>претставува ниво на објектот над подрумот или котата на подот да е на висина од 0-1м. над теренот доколку нема подрум.</w:t>
      </w:r>
    </w:p>
    <w:p w:rsidR="005B5E82" w:rsidRDefault="00253F74">
      <w:pPr>
        <w:jc w:val="both"/>
        <w:rPr>
          <w:rFonts w:ascii="Arial" w:hAnsi="Arial" w:cs="Arial"/>
          <w:sz w:val="22"/>
          <w:szCs w:val="22"/>
          <w:lang w:val="mk-MK"/>
        </w:rPr>
      </w:pPr>
      <w:r>
        <w:rPr>
          <w:rFonts w:ascii="Arial" w:hAnsi="Arial" w:cs="Arial"/>
          <w:b/>
          <w:bCs/>
          <w:sz w:val="22"/>
          <w:szCs w:val="22"/>
          <w:lang w:val="mk-MK"/>
        </w:rPr>
        <w:t xml:space="preserve">Спрат - </w:t>
      </w:r>
      <w:r>
        <w:rPr>
          <w:rFonts w:ascii="Arial" w:hAnsi="Arial" w:cs="Arial"/>
          <w:sz w:val="22"/>
          <w:szCs w:val="22"/>
          <w:lang w:val="mk-MK"/>
        </w:rPr>
        <w:t>Ниво на објектот нас приземјето</w:t>
      </w:r>
    </w:p>
    <w:p w:rsidR="005B5E82" w:rsidRDefault="00253F74">
      <w:pPr>
        <w:jc w:val="both"/>
        <w:rPr>
          <w:rFonts w:ascii="Arial" w:hAnsi="Arial" w:cs="Arial"/>
          <w:sz w:val="22"/>
          <w:szCs w:val="22"/>
          <w:lang w:val="mk-MK"/>
        </w:rPr>
      </w:pPr>
      <w:r>
        <w:rPr>
          <w:rFonts w:ascii="Arial" w:hAnsi="Arial" w:cs="Arial"/>
          <w:b/>
          <w:bCs/>
          <w:sz w:val="22"/>
          <w:szCs w:val="22"/>
          <w:lang w:val="mk-MK"/>
        </w:rPr>
        <w:t xml:space="preserve">Поткровје - </w:t>
      </w:r>
      <w:r>
        <w:rPr>
          <w:rFonts w:ascii="Arial" w:hAnsi="Arial" w:cs="Arial"/>
          <w:sz w:val="22"/>
          <w:szCs w:val="22"/>
          <w:lang w:val="mk-MK"/>
        </w:rPr>
        <w:t>ниво на објектот над последниот кат кој е делумно или во ц</w:t>
      </w:r>
      <w:r>
        <w:rPr>
          <w:rFonts w:ascii="Arial" w:hAnsi="Arial" w:cs="Arial"/>
          <w:sz w:val="22"/>
          <w:szCs w:val="22"/>
          <w:lang w:val="mk-MK"/>
        </w:rPr>
        <w:t>елост изграден внатре во кровната конструкција и е наменет за становање или друга намена чија најголема чиста висина на калканските ѕидови мозе да биде максимум 1.5м, за овие поткровја се врши наплата на надоместок во висина од 20%.За поткровјата со повисо</w:t>
      </w:r>
      <w:r>
        <w:rPr>
          <w:rFonts w:ascii="Arial" w:hAnsi="Arial" w:cs="Arial"/>
          <w:sz w:val="22"/>
          <w:szCs w:val="22"/>
          <w:lang w:val="mk-MK"/>
        </w:rPr>
        <w:t>ки калкански ѕидови се пресметва надоместок измеѓу поткровје и кат.</w:t>
      </w:r>
    </w:p>
    <w:p w:rsidR="005B5E82" w:rsidRDefault="00253F74">
      <w:pPr>
        <w:jc w:val="both"/>
        <w:rPr>
          <w:rFonts w:ascii="Arial" w:hAnsi="Arial" w:cs="Arial"/>
          <w:sz w:val="22"/>
          <w:szCs w:val="22"/>
          <w:lang w:val="mk-MK"/>
        </w:rPr>
      </w:pPr>
      <w:r>
        <w:rPr>
          <w:rFonts w:ascii="Arial" w:hAnsi="Arial" w:cs="Arial"/>
          <w:sz w:val="22"/>
          <w:szCs w:val="22"/>
          <w:lang w:val="mk-MK"/>
        </w:rPr>
        <w:tab/>
        <w:t>На вака пресметана површина врз база на ѕидарски мерки од проектот се намалува 3% на име вграден малтер на ѕидовите.</w:t>
      </w:r>
    </w:p>
    <w:p w:rsidR="005B5E82" w:rsidRDefault="00253F74">
      <w:pPr>
        <w:jc w:val="both"/>
        <w:rPr>
          <w:rFonts w:ascii="Arial" w:hAnsi="Arial" w:cs="Arial"/>
          <w:sz w:val="22"/>
          <w:szCs w:val="22"/>
          <w:lang w:val="mk-MK"/>
        </w:rPr>
      </w:pPr>
      <w:r>
        <w:rPr>
          <w:rFonts w:ascii="Arial" w:hAnsi="Arial" w:cs="Arial"/>
          <w:sz w:val="22"/>
          <w:szCs w:val="22"/>
          <w:lang w:val="mk-MK"/>
        </w:rPr>
        <w:tab/>
        <w:t xml:space="preserve">Доколку инвеститорот изгради поголема нето корисна површина од онаа </w:t>
      </w:r>
      <w:r>
        <w:rPr>
          <w:rFonts w:ascii="Arial" w:hAnsi="Arial" w:cs="Arial"/>
          <w:sz w:val="22"/>
          <w:szCs w:val="22"/>
          <w:lang w:val="mk-MK"/>
        </w:rPr>
        <w:t>по заверениоот главен проект што ја платил должен е вишокот на изградената НКП да го плати по цена што важи на денот на плаќањето.</w:t>
      </w:r>
    </w:p>
    <w:p w:rsidR="005B5E82" w:rsidRDefault="00253F74">
      <w:pPr>
        <w:jc w:val="both"/>
        <w:rPr>
          <w:rFonts w:ascii="Arial" w:hAnsi="Arial" w:cs="Arial"/>
          <w:sz w:val="22"/>
          <w:szCs w:val="22"/>
          <w:lang w:val="mk-MK"/>
        </w:rPr>
      </w:pPr>
      <w:r>
        <w:rPr>
          <w:rFonts w:ascii="Arial" w:hAnsi="Arial" w:cs="Arial"/>
          <w:sz w:val="22"/>
          <w:szCs w:val="22"/>
          <w:lang w:val="mk-MK"/>
        </w:rPr>
        <w:tab/>
        <w:t xml:space="preserve">Ова важи и за пријавувањето од страна на надлежната инспекција за градба.Надоместокот за уредување на градежно земјиште  </w:t>
      </w:r>
      <w:r>
        <w:rPr>
          <w:rFonts w:ascii="Arial" w:hAnsi="Arial" w:cs="Arial"/>
          <w:sz w:val="22"/>
          <w:szCs w:val="22"/>
          <w:lang w:val="mk-MK"/>
        </w:rPr>
        <w:t>корисниците ќе го уплатуваат на ж-ка Трезорска сметка 100000000063095, Уплатна сметка 840-129-6511 и приходна шифра 717137.</w:t>
      </w:r>
    </w:p>
    <w:p w:rsidR="005B5E82" w:rsidRDefault="00253F74">
      <w:pPr>
        <w:jc w:val="both"/>
        <w:rPr>
          <w:rFonts w:ascii="Arial" w:hAnsi="Arial" w:cs="Arial"/>
          <w:sz w:val="22"/>
          <w:szCs w:val="22"/>
          <w:lang w:val="mk-MK"/>
        </w:rPr>
      </w:pPr>
      <w:r>
        <w:rPr>
          <w:rFonts w:ascii="Arial" w:hAnsi="Arial" w:cs="Arial"/>
          <w:sz w:val="22"/>
          <w:szCs w:val="22"/>
          <w:lang w:val="mk-MK"/>
        </w:rPr>
        <w:tab/>
        <w:t>Во исклучителни случаеви, каде на одредени градежни парцели или цели локалитети каде што трошоците за уредување на градежното земји</w:t>
      </w:r>
      <w:r>
        <w:rPr>
          <w:rFonts w:ascii="Arial" w:hAnsi="Arial" w:cs="Arial"/>
          <w:sz w:val="22"/>
          <w:szCs w:val="22"/>
          <w:lang w:val="mk-MK"/>
        </w:rPr>
        <w:t>ште ги надминуваат предвидените трошоци предвидени со оваа програма, истите ќе се надоместуваат по однапред направена калкулација.</w:t>
      </w:r>
    </w:p>
    <w:p w:rsidR="005B5E82" w:rsidRDefault="00253F74">
      <w:pPr>
        <w:jc w:val="both"/>
        <w:rPr>
          <w:rFonts w:ascii="Arial" w:hAnsi="Arial" w:cs="Arial"/>
          <w:sz w:val="22"/>
          <w:szCs w:val="22"/>
          <w:lang w:val="mk-MK"/>
        </w:rPr>
      </w:pPr>
      <w:r>
        <w:rPr>
          <w:rFonts w:ascii="Arial" w:hAnsi="Arial" w:cs="Arial"/>
          <w:sz w:val="22"/>
          <w:szCs w:val="22"/>
          <w:lang w:val="mk-MK"/>
        </w:rPr>
        <w:tab/>
        <w:t>Лицето на кое му е доделено градежното земјиште е должно да го уплати надоместокот за уредување на градежното земјиште во ро</w:t>
      </w:r>
      <w:r>
        <w:rPr>
          <w:rFonts w:ascii="Arial" w:hAnsi="Arial" w:cs="Arial"/>
          <w:sz w:val="22"/>
          <w:szCs w:val="22"/>
          <w:lang w:val="mk-MK"/>
        </w:rPr>
        <w:t>к од 2(два) месеци од денот на доделувањето.</w:t>
      </w:r>
    </w:p>
    <w:p w:rsidR="005B5E82" w:rsidRDefault="00253F74">
      <w:pPr>
        <w:jc w:val="both"/>
        <w:rPr>
          <w:rFonts w:ascii="Arial" w:hAnsi="Arial" w:cs="Arial"/>
          <w:sz w:val="22"/>
          <w:szCs w:val="22"/>
          <w:lang w:val="mk-MK"/>
        </w:rPr>
      </w:pPr>
      <w:r>
        <w:rPr>
          <w:rFonts w:ascii="Arial" w:hAnsi="Arial" w:cs="Arial"/>
          <w:sz w:val="22"/>
          <w:szCs w:val="22"/>
          <w:lang w:val="mk-MK"/>
        </w:rPr>
        <w:tab/>
        <w:t>Надоместокот се плаќа за НКП предвидена со заверениот Главен проект.</w:t>
      </w:r>
    </w:p>
    <w:p w:rsidR="005B5E82" w:rsidRDefault="00253F74">
      <w:pPr>
        <w:jc w:val="both"/>
        <w:rPr>
          <w:rFonts w:ascii="Arial" w:hAnsi="Arial" w:cs="Arial"/>
          <w:sz w:val="22"/>
          <w:szCs w:val="22"/>
          <w:lang w:val="en-US"/>
        </w:rPr>
      </w:pPr>
      <w:r>
        <w:rPr>
          <w:rFonts w:ascii="Arial" w:hAnsi="Arial" w:cs="Arial"/>
          <w:sz w:val="22"/>
          <w:szCs w:val="22"/>
          <w:lang w:val="mk-MK"/>
        </w:rPr>
        <w:tab/>
        <w:t>При формирањето и дооформувањето на градеѓни парцели, градежното земјиште ќе се плаќа согласно член 2 од Уредбата за висината на цената на г</w:t>
      </w:r>
      <w:r>
        <w:rPr>
          <w:rFonts w:ascii="Arial" w:hAnsi="Arial" w:cs="Arial"/>
          <w:sz w:val="22"/>
          <w:szCs w:val="22"/>
          <w:lang w:val="mk-MK"/>
        </w:rPr>
        <w:t>радежното земјиште сопственост на Република Северна Македонија и висината посебните трошоци за спроведување на постапките за отуѓување, давање под закуп и за засновање на правото на стварна службеност (Сл.Весник на РСМ бр.129 од 11.06.2021 година).</w:t>
      </w:r>
    </w:p>
    <w:p w:rsidR="005B5E82" w:rsidRDefault="00253F74">
      <w:pPr>
        <w:jc w:val="both"/>
        <w:rPr>
          <w:rFonts w:ascii="M_Times" w:hAnsi="M_Times"/>
          <w:lang w:val="mk-MK"/>
        </w:rPr>
      </w:pPr>
      <w:r>
        <w:rPr>
          <w:rFonts w:ascii="M_Times" w:hAnsi="M_Times"/>
          <w:lang w:val="mk-MK"/>
        </w:rPr>
        <w:tab/>
      </w:r>
    </w:p>
    <w:p w:rsidR="005B5E82" w:rsidRDefault="005B5E82">
      <w:pPr>
        <w:ind w:firstLine="720"/>
        <w:jc w:val="both"/>
        <w:rPr>
          <w:rFonts w:ascii="M_Times" w:hAnsi="M_Times"/>
          <w:lang w:val="en-US"/>
        </w:rPr>
      </w:pPr>
    </w:p>
    <w:p w:rsidR="005B5E82" w:rsidRDefault="00253F74">
      <w:pPr>
        <w:ind w:firstLine="720"/>
        <w:jc w:val="both"/>
        <w:rPr>
          <w:rFonts w:ascii="Arial" w:hAnsi="Arial" w:cs="Arial"/>
          <w:sz w:val="22"/>
          <w:szCs w:val="22"/>
          <w:lang w:val="en-US"/>
        </w:rPr>
      </w:pPr>
      <w:r>
        <w:rPr>
          <w:rFonts w:ascii="Arial" w:hAnsi="Arial" w:cs="Arial"/>
          <w:sz w:val="22"/>
          <w:szCs w:val="22"/>
          <w:lang w:val="mk-MK"/>
        </w:rPr>
        <w:t>Виси</w:t>
      </w:r>
      <w:r>
        <w:rPr>
          <w:rFonts w:ascii="Arial" w:hAnsi="Arial" w:cs="Arial"/>
          <w:sz w:val="22"/>
          <w:szCs w:val="22"/>
          <w:lang w:val="mk-MK"/>
        </w:rPr>
        <w:t>ната на надоместокот за уредување на градежно земјиште ќе се третира како минимум врз база на условите за градба издадени од општина Зрновци и Проектната докумнетација, а тој минимум изнесува</w:t>
      </w:r>
      <w:r>
        <w:rPr>
          <w:rFonts w:ascii="Arial" w:hAnsi="Arial" w:cs="Arial"/>
          <w:sz w:val="22"/>
          <w:szCs w:val="22"/>
          <w:lang w:val="en-US"/>
        </w:rPr>
        <w:t>:</w:t>
      </w:r>
    </w:p>
    <w:p w:rsidR="005B5E82" w:rsidRDefault="00253F74">
      <w:pPr>
        <w:ind w:firstLine="720"/>
        <w:jc w:val="both"/>
        <w:rPr>
          <w:rFonts w:ascii="Arial" w:hAnsi="Arial" w:cs="Arial"/>
          <w:sz w:val="22"/>
          <w:szCs w:val="22"/>
          <w:lang w:val="mk-MK"/>
        </w:rPr>
      </w:pPr>
      <w:r>
        <w:rPr>
          <w:rFonts w:ascii="Arial" w:hAnsi="Arial" w:cs="Arial"/>
          <w:sz w:val="22"/>
          <w:szCs w:val="22"/>
          <w:lang w:val="mk-MK"/>
        </w:rPr>
        <w:lastRenderedPageBreak/>
        <w:t>а)За објекти П +1 со димензии 10</w:t>
      </w:r>
      <w:r>
        <w:rPr>
          <w:rFonts w:ascii="Arial" w:hAnsi="Arial" w:cs="Arial"/>
          <w:sz w:val="22"/>
          <w:szCs w:val="22"/>
          <w:lang w:val="en-US"/>
        </w:rPr>
        <w:t>x</w:t>
      </w:r>
      <w:r>
        <w:rPr>
          <w:rFonts w:ascii="Arial" w:hAnsi="Arial" w:cs="Arial"/>
          <w:sz w:val="22"/>
          <w:szCs w:val="22"/>
          <w:lang w:val="mk-MK"/>
        </w:rPr>
        <w:t>8м, или бруто површина во осно</w:t>
      </w:r>
      <w:r>
        <w:rPr>
          <w:rFonts w:ascii="Arial" w:hAnsi="Arial" w:cs="Arial"/>
          <w:sz w:val="22"/>
          <w:szCs w:val="22"/>
          <w:lang w:val="mk-MK"/>
        </w:rPr>
        <w:t>вата 80м2 се плаќа за 120м2 НКП</w:t>
      </w:r>
      <w:r>
        <w:rPr>
          <w:rFonts w:ascii="Arial" w:hAnsi="Arial" w:cs="Arial"/>
          <w:sz w:val="22"/>
          <w:szCs w:val="22"/>
          <w:lang w:val="en-US"/>
        </w:rPr>
        <w:t>;</w:t>
      </w:r>
    </w:p>
    <w:p w:rsidR="005B5E82" w:rsidRDefault="00253F74">
      <w:pPr>
        <w:ind w:firstLine="720"/>
        <w:jc w:val="both"/>
        <w:rPr>
          <w:rFonts w:ascii="Arial" w:hAnsi="Arial" w:cs="Arial"/>
          <w:sz w:val="22"/>
          <w:szCs w:val="22"/>
          <w:lang w:val="mk-MK"/>
        </w:rPr>
      </w:pPr>
      <w:r>
        <w:rPr>
          <w:rFonts w:ascii="Arial" w:hAnsi="Arial" w:cs="Arial"/>
          <w:sz w:val="22"/>
          <w:szCs w:val="22"/>
          <w:lang w:val="mk-MK"/>
        </w:rPr>
        <w:t>б)За објекти П+1 со димензии 10</w:t>
      </w:r>
      <w:r>
        <w:rPr>
          <w:rFonts w:ascii="Arial" w:hAnsi="Arial" w:cs="Arial"/>
          <w:sz w:val="22"/>
          <w:szCs w:val="22"/>
          <w:lang w:val="en-US"/>
        </w:rPr>
        <w:t>x</w:t>
      </w:r>
      <w:r>
        <w:rPr>
          <w:rFonts w:ascii="Arial" w:hAnsi="Arial" w:cs="Arial"/>
          <w:sz w:val="22"/>
          <w:szCs w:val="22"/>
          <w:lang w:val="mk-MK"/>
        </w:rPr>
        <w:t>10м или бруто површина во основа 100м2 се плаќа за 160м2 НКП.</w:t>
      </w:r>
    </w:p>
    <w:p w:rsidR="005B5E82" w:rsidRDefault="00253F74">
      <w:pPr>
        <w:ind w:firstLine="720"/>
        <w:jc w:val="both"/>
        <w:rPr>
          <w:rFonts w:ascii="Arial" w:hAnsi="Arial" w:cs="Arial"/>
          <w:sz w:val="22"/>
          <w:szCs w:val="22"/>
          <w:lang w:val="mk-MK"/>
        </w:rPr>
      </w:pPr>
      <w:r>
        <w:rPr>
          <w:rFonts w:ascii="Arial" w:hAnsi="Arial" w:cs="Arial"/>
          <w:sz w:val="22"/>
          <w:szCs w:val="22"/>
          <w:lang w:val="mk-MK"/>
        </w:rPr>
        <w:t>Инвеститорот кој ќе гради нов објект на локација на која се руши стар објект, пресметувањето на НКП се врши така што од новата по</w:t>
      </w:r>
      <w:r>
        <w:rPr>
          <w:rFonts w:ascii="Arial" w:hAnsi="Arial" w:cs="Arial"/>
          <w:sz w:val="22"/>
          <w:szCs w:val="22"/>
          <w:lang w:val="mk-MK"/>
        </w:rPr>
        <w:t>вршина се одзема површината која се руши и ќе се плаќа само надоместок за разликата но не помалку од 15% од површината на новиот објект.</w:t>
      </w:r>
    </w:p>
    <w:p w:rsidR="005B5E82" w:rsidRDefault="00253F74">
      <w:pPr>
        <w:ind w:firstLine="720"/>
        <w:jc w:val="both"/>
        <w:rPr>
          <w:rFonts w:ascii="Arial" w:hAnsi="Arial" w:cs="Arial"/>
          <w:sz w:val="22"/>
          <w:szCs w:val="22"/>
          <w:lang w:val="mk-MK"/>
        </w:rPr>
      </w:pPr>
      <w:r>
        <w:rPr>
          <w:rFonts w:ascii="Arial" w:hAnsi="Arial" w:cs="Arial"/>
          <w:sz w:val="22"/>
          <w:szCs w:val="22"/>
          <w:lang w:val="mk-MK"/>
        </w:rPr>
        <w:t>Висината на надоместокот за уредување на градежно земјиште во програма ќе се пресметува во еур, ке се наплатува во дена</w:t>
      </w:r>
      <w:r>
        <w:rPr>
          <w:rFonts w:ascii="Arial" w:hAnsi="Arial" w:cs="Arial"/>
          <w:sz w:val="22"/>
          <w:szCs w:val="22"/>
          <w:lang w:val="mk-MK"/>
        </w:rPr>
        <w:t>рска противредност според курсот на НБ на РМ што важи на денот кога се плаќа.</w:t>
      </w:r>
    </w:p>
    <w:p w:rsidR="005B5E82" w:rsidRDefault="00253F74">
      <w:pPr>
        <w:ind w:firstLine="720"/>
        <w:jc w:val="both"/>
        <w:rPr>
          <w:rFonts w:ascii="Arial" w:hAnsi="Arial" w:cs="Arial"/>
          <w:sz w:val="22"/>
          <w:szCs w:val="22"/>
          <w:lang w:val="mk-MK"/>
        </w:rPr>
      </w:pPr>
      <w:r>
        <w:rPr>
          <w:rFonts w:ascii="Arial" w:hAnsi="Arial" w:cs="Arial"/>
          <w:sz w:val="22"/>
          <w:szCs w:val="22"/>
          <w:lang w:val="mk-MK"/>
        </w:rPr>
        <w:t>Во оваа програма надоместокот е предвиден да се пресметува во еур.</w:t>
      </w:r>
    </w:p>
    <w:p w:rsidR="005B5E82" w:rsidRDefault="00253F74">
      <w:pPr>
        <w:ind w:firstLine="720"/>
        <w:jc w:val="both"/>
        <w:rPr>
          <w:rFonts w:ascii="Arial" w:hAnsi="Arial" w:cs="Arial"/>
          <w:sz w:val="22"/>
          <w:szCs w:val="22"/>
          <w:lang w:val="mk-MK"/>
        </w:rPr>
      </w:pPr>
      <w:r>
        <w:rPr>
          <w:rFonts w:ascii="Arial" w:hAnsi="Arial" w:cs="Arial"/>
          <w:sz w:val="22"/>
          <w:szCs w:val="22"/>
          <w:lang w:val="mk-MK"/>
        </w:rPr>
        <w:t>Преку надоместокот за уредување на градежно земјиште на корисниците на локациите им се обезбедува инфраструктур</w:t>
      </w:r>
      <w:r>
        <w:rPr>
          <w:rFonts w:ascii="Arial" w:hAnsi="Arial" w:cs="Arial"/>
          <w:sz w:val="22"/>
          <w:szCs w:val="22"/>
          <w:lang w:val="mk-MK"/>
        </w:rPr>
        <w:t>а предвидена со оваа Програма.</w:t>
      </w:r>
    </w:p>
    <w:p w:rsidR="005B5E82" w:rsidRDefault="00253F74">
      <w:pPr>
        <w:ind w:firstLine="720"/>
        <w:jc w:val="both"/>
        <w:rPr>
          <w:rFonts w:ascii="Arial" w:hAnsi="Arial" w:cs="Arial"/>
          <w:sz w:val="22"/>
          <w:szCs w:val="22"/>
          <w:lang w:val="mk-MK"/>
        </w:rPr>
      </w:pPr>
      <w:r>
        <w:rPr>
          <w:rFonts w:ascii="Arial" w:hAnsi="Arial" w:cs="Arial"/>
          <w:sz w:val="22"/>
          <w:szCs w:val="22"/>
          <w:lang w:val="mk-MK"/>
        </w:rPr>
        <w:t>Трошоците за приклучок на водоводната, канализационата и електричната мрежа (согласности, такси и сл.) паѓаат на товар на инвеститорот.</w:t>
      </w:r>
    </w:p>
    <w:p w:rsidR="005B5E82" w:rsidRDefault="00253F74">
      <w:pPr>
        <w:ind w:firstLine="720"/>
        <w:jc w:val="both"/>
        <w:rPr>
          <w:rFonts w:ascii="Arial" w:hAnsi="Arial" w:cs="Arial"/>
          <w:sz w:val="22"/>
          <w:szCs w:val="22"/>
          <w:lang w:val="mk-MK"/>
        </w:rPr>
      </w:pPr>
      <w:r>
        <w:rPr>
          <w:rFonts w:ascii="Arial" w:hAnsi="Arial" w:cs="Arial"/>
          <w:sz w:val="22"/>
          <w:szCs w:val="22"/>
          <w:lang w:val="mk-MK"/>
        </w:rPr>
        <w:t>Трошоците за дворно уредување (пристапни патеки, потпорни ѕидови, дворно зеленило и шахти</w:t>
      </w:r>
      <w:r>
        <w:rPr>
          <w:rFonts w:ascii="Arial" w:hAnsi="Arial" w:cs="Arial"/>
          <w:sz w:val="22"/>
          <w:szCs w:val="22"/>
          <w:lang w:val="mk-MK"/>
        </w:rPr>
        <w:t xml:space="preserve"> во парцелата) паѓаат на товар на инвеститорот.</w:t>
      </w:r>
    </w:p>
    <w:p w:rsidR="005B5E82" w:rsidRDefault="00253F74">
      <w:pPr>
        <w:ind w:firstLine="720"/>
        <w:jc w:val="both"/>
        <w:rPr>
          <w:rFonts w:ascii="Arial" w:hAnsi="Arial" w:cs="Arial"/>
          <w:sz w:val="22"/>
          <w:szCs w:val="22"/>
          <w:lang w:val="mk-MK"/>
        </w:rPr>
      </w:pPr>
      <w:r>
        <w:rPr>
          <w:rFonts w:ascii="Arial" w:hAnsi="Arial" w:cs="Arial"/>
          <w:sz w:val="22"/>
          <w:szCs w:val="22"/>
          <w:lang w:val="mk-MK"/>
        </w:rPr>
        <w:t>Трошоците за дислокации на водоводни, канализациони и електрична мрежа (но не и приватни приклучни линии) ако поминуваат низ градежната парцела и го попречуваат градењето, доградбата или надградбата на објект</w:t>
      </w:r>
      <w:r>
        <w:rPr>
          <w:rFonts w:ascii="Arial" w:hAnsi="Arial" w:cs="Arial"/>
          <w:sz w:val="22"/>
          <w:szCs w:val="22"/>
          <w:lang w:val="mk-MK"/>
        </w:rPr>
        <w:t>от, а за кои се платени трошоците за уредување на градежното земјиште паѓаат на товар, на општина Зрновци.</w:t>
      </w:r>
    </w:p>
    <w:p w:rsidR="005B5E82" w:rsidRDefault="00253F74">
      <w:pPr>
        <w:jc w:val="both"/>
        <w:rPr>
          <w:rFonts w:ascii="Arial" w:hAnsi="Arial" w:cs="Arial"/>
          <w:sz w:val="22"/>
          <w:szCs w:val="22"/>
          <w:lang w:val="mk-MK"/>
        </w:rPr>
      </w:pPr>
      <w:r>
        <w:rPr>
          <w:rFonts w:ascii="Arial" w:hAnsi="Arial" w:cs="Arial"/>
          <w:sz w:val="22"/>
          <w:szCs w:val="22"/>
          <w:lang w:val="mk-MK"/>
        </w:rPr>
        <w:tab/>
        <w:t>Ако трошоците за дислокација се поголеми од платениот надоместок, во тој случај разликата паѓа на товар на инвеститорот.</w:t>
      </w:r>
    </w:p>
    <w:p w:rsidR="005B5E82" w:rsidRDefault="00253F74">
      <w:pPr>
        <w:jc w:val="both"/>
        <w:rPr>
          <w:rFonts w:ascii="Arial" w:hAnsi="Arial" w:cs="Arial"/>
          <w:sz w:val="22"/>
          <w:szCs w:val="22"/>
          <w:lang w:val="mk-MK"/>
        </w:rPr>
      </w:pPr>
      <w:r>
        <w:rPr>
          <w:rFonts w:ascii="Arial" w:hAnsi="Arial" w:cs="Arial"/>
          <w:sz w:val="22"/>
          <w:szCs w:val="22"/>
          <w:lang w:val="mk-MK"/>
        </w:rPr>
        <w:tab/>
        <w:t xml:space="preserve">Трошоците за уредување на </w:t>
      </w:r>
      <w:r>
        <w:rPr>
          <w:rFonts w:ascii="Arial" w:hAnsi="Arial" w:cs="Arial"/>
          <w:sz w:val="22"/>
          <w:szCs w:val="22"/>
          <w:lang w:val="mk-MK"/>
        </w:rPr>
        <w:t>градежно земјиште во секоја област за доделување на локациите, општина Зрновци ќе ги објавува по однапред одредена цена по м2.</w:t>
      </w:r>
    </w:p>
    <w:p w:rsidR="005B5E82" w:rsidRDefault="00253F74">
      <w:pPr>
        <w:jc w:val="both"/>
        <w:rPr>
          <w:rFonts w:ascii="Arial" w:hAnsi="Arial" w:cs="Arial"/>
          <w:sz w:val="22"/>
          <w:szCs w:val="22"/>
          <w:lang w:val="mk-MK"/>
        </w:rPr>
      </w:pPr>
      <w:r>
        <w:rPr>
          <w:rFonts w:ascii="Arial" w:hAnsi="Arial" w:cs="Arial"/>
          <w:sz w:val="22"/>
          <w:szCs w:val="22"/>
          <w:lang w:val="mk-MK"/>
        </w:rPr>
        <w:tab/>
        <w:t>Цената на градежното земјиште под објект кое ќе биде предмет на доделување на локации, општина Зрновци ќе ги објавува по однапре</w:t>
      </w:r>
      <w:r>
        <w:rPr>
          <w:rFonts w:ascii="Arial" w:hAnsi="Arial" w:cs="Arial"/>
          <w:sz w:val="22"/>
          <w:szCs w:val="22"/>
          <w:lang w:val="mk-MK"/>
        </w:rPr>
        <w:t>д одредена цена по м2.</w:t>
      </w:r>
    </w:p>
    <w:p w:rsidR="005B5E82" w:rsidRDefault="00253F74">
      <w:pPr>
        <w:jc w:val="both"/>
        <w:rPr>
          <w:rFonts w:ascii="Arial" w:hAnsi="Arial" w:cs="Arial"/>
          <w:sz w:val="22"/>
          <w:szCs w:val="22"/>
          <w:lang w:val="mk-MK"/>
        </w:rPr>
      </w:pPr>
      <w:r>
        <w:rPr>
          <w:rFonts w:ascii="Arial" w:hAnsi="Arial" w:cs="Arial"/>
          <w:sz w:val="22"/>
          <w:szCs w:val="22"/>
          <w:lang w:val="mk-MK"/>
        </w:rPr>
        <w:t>Цената на градежното земјиште под објект кое ќе биде предмет на доделување со непосредна спогодба согласно законот за легализација на бесправно изградено земјиште и до 500м2 околу објектот ќе биде 1 еур/м2 а над 500м2 согласно табела</w:t>
      </w:r>
      <w:r>
        <w:rPr>
          <w:rFonts w:ascii="Arial" w:hAnsi="Arial" w:cs="Arial"/>
          <w:sz w:val="22"/>
          <w:szCs w:val="22"/>
          <w:lang w:val="mk-MK"/>
        </w:rPr>
        <w:t>рниот преглед од Уредбата.</w:t>
      </w:r>
    </w:p>
    <w:p w:rsidR="005B5E82" w:rsidRDefault="00253F74">
      <w:pPr>
        <w:jc w:val="both"/>
        <w:rPr>
          <w:rFonts w:ascii="Arial" w:hAnsi="Arial" w:cs="Arial"/>
          <w:sz w:val="22"/>
          <w:szCs w:val="22"/>
          <w:lang w:val="mk-MK"/>
        </w:rPr>
      </w:pPr>
      <w:r>
        <w:rPr>
          <w:rFonts w:ascii="Arial" w:hAnsi="Arial" w:cs="Arial"/>
          <w:sz w:val="22"/>
          <w:szCs w:val="22"/>
          <w:lang w:val="mk-MK"/>
        </w:rPr>
        <w:tab/>
        <w:t>Откако инвеститорот ќе го плати надоместокот за уредување на градежно земјиште општината го издава Одобрението за градба.</w:t>
      </w:r>
    </w:p>
    <w:p w:rsidR="005B5E82" w:rsidRDefault="00253F74">
      <w:pPr>
        <w:jc w:val="both"/>
        <w:rPr>
          <w:rFonts w:ascii="Arial" w:hAnsi="Arial" w:cs="Arial"/>
          <w:sz w:val="22"/>
          <w:szCs w:val="22"/>
          <w:lang w:val="mk-MK"/>
        </w:rPr>
      </w:pPr>
      <w:r>
        <w:rPr>
          <w:rFonts w:ascii="Arial" w:hAnsi="Arial" w:cs="Arial"/>
          <w:sz w:val="22"/>
          <w:szCs w:val="22"/>
          <w:lang w:val="mk-MK"/>
        </w:rPr>
        <w:tab/>
        <w:t>Одобрението за градење не може да се издаде ако не е платен надоместокот за уредување на градежно земјишт</w:t>
      </w:r>
      <w:r>
        <w:rPr>
          <w:rFonts w:ascii="Arial" w:hAnsi="Arial" w:cs="Arial"/>
          <w:sz w:val="22"/>
          <w:szCs w:val="22"/>
          <w:lang w:val="mk-MK"/>
        </w:rPr>
        <w:t xml:space="preserve">е, освен ако инвеститорот и општината склучат договор за плаќање на надоместокот за уредување на градежно земјиште на рати или склучат договор со кој е утврдено дека инвеститоротќе го уреди земјиштето на сопствен трошок или донесен е акт врз основа на кој </w:t>
      </w:r>
      <w:r>
        <w:rPr>
          <w:rFonts w:ascii="Arial" w:hAnsi="Arial" w:cs="Arial"/>
          <w:sz w:val="22"/>
          <w:szCs w:val="22"/>
          <w:lang w:val="mk-MK"/>
        </w:rPr>
        <w:t>инвеститорот е ослободен од плаќање на надоместокот или инвеститорот доставил банкарска гаранција за плаќање на надоместокот или инвеститорот востановил хипотека во корист на општината.</w:t>
      </w:r>
    </w:p>
    <w:p w:rsidR="005B5E82" w:rsidRDefault="00253F74">
      <w:pPr>
        <w:jc w:val="both"/>
        <w:rPr>
          <w:rFonts w:ascii="Arial" w:hAnsi="Arial" w:cs="Arial"/>
          <w:sz w:val="22"/>
          <w:szCs w:val="22"/>
          <w:lang w:val="mk-MK"/>
        </w:rPr>
      </w:pPr>
      <w:r>
        <w:rPr>
          <w:rFonts w:ascii="Arial" w:hAnsi="Arial" w:cs="Arial"/>
          <w:sz w:val="22"/>
          <w:szCs w:val="22"/>
          <w:lang w:val="mk-MK"/>
        </w:rPr>
        <w:tab/>
        <w:t>Одобрението за градење се издава по електронски пат во рок од десет р</w:t>
      </w:r>
      <w:r>
        <w:rPr>
          <w:rFonts w:ascii="Arial" w:hAnsi="Arial" w:cs="Arial"/>
          <w:sz w:val="22"/>
          <w:szCs w:val="22"/>
          <w:lang w:val="mk-MK"/>
        </w:rPr>
        <w:t>аботни дена од доставувањето на доказ за платен надоместок за уредување на градежно земјиште, односно од денот на склучувањето на договорот за начинот на плаќање на надоместокот или од денот на донесувањето на банкарска гаранција за плаќање на надоместокот</w:t>
      </w:r>
      <w:r>
        <w:rPr>
          <w:rFonts w:ascii="Arial" w:hAnsi="Arial" w:cs="Arial"/>
          <w:sz w:val="22"/>
          <w:szCs w:val="22"/>
          <w:lang w:val="mk-MK"/>
        </w:rPr>
        <w:t xml:space="preserve"> или доставување доказ за воспоставена хипотека во корист на општината.</w:t>
      </w:r>
    </w:p>
    <w:p w:rsidR="005B5E82" w:rsidRDefault="00253F74">
      <w:pPr>
        <w:jc w:val="both"/>
        <w:rPr>
          <w:rFonts w:ascii="Arial" w:hAnsi="Arial" w:cs="Arial"/>
          <w:sz w:val="22"/>
          <w:szCs w:val="22"/>
          <w:lang w:val="mk-MK"/>
        </w:rPr>
      </w:pPr>
      <w:r>
        <w:rPr>
          <w:rFonts w:ascii="Arial" w:hAnsi="Arial" w:cs="Arial"/>
          <w:sz w:val="22"/>
          <w:szCs w:val="22"/>
          <w:lang w:val="mk-MK"/>
        </w:rPr>
        <w:tab/>
        <w:t>За деловни, индустриски и стопански објекти, настрешници и сл.(Бензински пумпи, складови и производни капацитети, фарми, паркинг плацеви и сл.вон градежниот реон, а за кои е обезбеден</w:t>
      </w:r>
      <w:r>
        <w:rPr>
          <w:rFonts w:ascii="Arial" w:hAnsi="Arial" w:cs="Arial"/>
          <w:sz w:val="22"/>
          <w:szCs w:val="22"/>
          <w:lang w:val="mk-MK"/>
        </w:rPr>
        <w:t xml:space="preserve">о градежна документација од надлежниот орган ќе се плаќа 50% од висината на трошоците </w:t>
      </w:r>
      <w:r>
        <w:rPr>
          <w:rFonts w:ascii="Arial" w:hAnsi="Arial" w:cs="Arial"/>
          <w:sz w:val="22"/>
          <w:szCs w:val="22"/>
          <w:lang w:val="mk-MK"/>
        </w:rPr>
        <w:lastRenderedPageBreak/>
        <w:t>предвидени во точка г) поради користење на постојната инфраструктура (пат, електрични далноводи, нисконапонска мрежа и др).</w:t>
      </w:r>
    </w:p>
    <w:p w:rsidR="005B5E82" w:rsidRDefault="00253F74">
      <w:pPr>
        <w:jc w:val="both"/>
        <w:rPr>
          <w:rFonts w:ascii="Arial" w:hAnsi="Arial" w:cs="Arial"/>
          <w:sz w:val="22"/>
          <w:szCs w:val="22"/>
          <w:lang w:val="mk-MK"/>
        </w:rPr>
      </w:pPr>
      <w:r>
        <w:rPr>
          <w:rFonts w:ascii="Arial" w:hAnsi="Arial" w:cs="Arial"/>
          <w:sz w:val="22"/>
          <w:szCs w:val="22"/>
          <w:lang w:val="mk-MK"/>
        </w:rPr>
        <w:tab/>
        <w:t xml:space="preserve">Општина Зрновци нема обврска за уредување на </w:t>
      </w:r>
      <w:r>
        <w:rPr>
          <w:rFonts w:ascii="Arial" w:hAnsi="Arial" w:cs="Arial"/>
          <w:sz w:val="22"/>
          <w:szCs w:val="22"/>
          <w:lang w:val="mk-MK"/>
        </w:rPr>
        <w:t>ова земјиште.</w:t>
      </w:r>
    </w:p>
    <w:p w:rsidR="005B5E82" w:rsidRDefault="00253F74">
      <w:pPr>
        <w:jc w:val="both"/>
        <w:rPr>
          <w:rFonts w:ascii="Arial" w:hAnsi="Arial" w:cs="Arial"/>
          <w:sz w:val="22"/>
          <w:szCs w:val="22"/>
          <w:lang w:val="mk-MK"/>
        </w:rPr>
      </w:pPr>
      <w:r>
        <w:rPr>
          <w:rFonts w:ascii="Arial" w:hAnsi="Arial" w:cs="Arial"/>
          <w:sz w:val="22"/>
          <w:szCs w:val="22"/>
          <w:lang w:val="mk-MK"/>
        </w:rPr>
        <w:tab/>
        <w:t>Кон реализација на комуналната инфраструктура на одделни улици, населби и локации ќе се пристапи откако ќе се обезбедат 95% од средствата за комунална услуга од сопствениците на локациите.</w:t>
      </w:r>
    </w:p>
    <w:p w:rsidR="005B5E82" w:rsidRDefault="005B5E82">
      <w:pPr>
        <w:jc w:val="both"/>
        <w:rPr>
          <w:rFonts w:ascii="Arial" w:hAnsi="Arial" w:cs="Arial"/>
          <w:sz w:val="22"/>
          <w:szCs w:val="22"/>
          <w:lang w:val="mk-MK"/>
        </w:rPr>
      </w:pPr>
    </w:p>
    <w:p w:rsidR="005B5E82" w:rsidRDefault="00253F74">
      <w:pPr>
        <w:jc w:val="both"/>
        <w:rPr>
          <w:rFonts w:ascii="Arial" w:hAnsi="Arial" w:cs="Arial"/>
          <w:b/>
          <w:bCs/>
          <w:sz w:val="22"/>
          <w:szCs w:val="22"/>
          <w:lang w:val="mk-MK"/>
        </w:rPr>
      </w:pPr>
      <w:r>
        <w:rPr>
          <w:rFonts w:ascii="Arial" w:hAnsi="Arial" w:cs="Arial"/>
          <w:b/>
          <w:bCs/>
          <w:sz w:val="22"/>
          <w:szCs w:val="22"/>
          <w:lang w:val="mk-MK"/>
        </w:rPr>
        <w:t>АКТИВНОСТИ - ПРИХОДИ</w:t>
      </w:r>
    </w:p>
    <w:p w:rsidR="005B5E82" w:rsidRDefault="00253F74">
      <w:pPr>
        <w:jc w:val="both"/>
        <w:rPr>
          <w:rFonts w:ascii="Arial" w:hAnsi="Arial" w:cs="Arial"/>
          <w:sz w:val="22"/>
          <w:szCs w:val="22"/>
          <w:lang w:val="mk-MK"/>
        </w:rPr>
      </w:pPr>
      <w:r>
        <w:rPr>
          <w:rFonts w:ascii="Arial" w:hAnsi="Arial" w:cs="Arial"/>
          <w:sz w:val="22"/>
          <w:szCs w:val="22"/>
          <w:lang w:val="mk-MK"/>
        </w:rPr>
        <w:t xml:space="preserve">Доградба и надградба во прва </w:t>
      </w:r>
      <w:r>
        <w:rPr>
          <w:rFonts w:ascii="Arial" w:hAnsi="Arial" w:cs="Arial"/>
          <w:sz w:val="22"/>
          <w:szCs w:val="22"/>
          <w:lang w:val="mk-MK"/>
        </w:rPr>
        <w:t>зона на Зрновци</w:t>
      </w:r>
      <w:r>
        <w:rPr>
          <w:rFonts w:ascii="Arial" w:hAnsi="Arial" w:cs="Arial"/>
          <w:sz w:val="22"/>
          <w:szCs w:val="22"/>
          <w:lang w:val="en-US"/>
        </w:rPr>
        <w:t>:</w:t>
      </w:r>
    </w:p>
    <w:p w:rsidR="005B5E82" w:rsidRDefault="00253F74">
      <w:pPr>
        <w:jc w:val="both"/>
        <w:rPr>
          <w:rFonts w:ascii="Arial" w:hAnsi="Arial" w:cs="Arial"/>
          <w:sz w:val="22"/>
          <w:szCs w:val="22"/>
          <w:lang w:val="mk-MK"/>
        </w:rPr>
      </w:pPr>
      <w:r>
        <w:rPr>
          <w:rFonts w:ascii="Arial" w:hAnsi="Arial" w:cs="Arial"/>
          <w:sz w:val="22"/>
          <w:szCs w:val="22"/>
          <w:lang w:val="mk-MK"/>
        </w:rPr>
        <w:t>-Доградба и надградба 2х35м2 х 858,00 односно 60.060,00 мкд</w:t>
      </w:r>
    </w:p>
    <w:p w:rsidR="005B5E82" w:rsidRDefault="00253F74">
      <w:pPr>
        <w:jc w:val="both"/>
        <w:rPr>
          <w:rFonts w:ascii="Arial" w:hAnsi="Arial" w:cs="Arial"/>
          <w:sz w:val="22"/>
          <w:szCs w:val="22"/>
          <w:lang w:val="mk-MK"/>
        </w:rPr>
      </w:pPr>
      <w:r>
        <w:rPr>
          <w:rFonts w:ascii="Arial" w:hAnsi="Arial" w:cs="Arial"/>
          <w:sz w:val="22"/>
          <w:szCs w:val="22"/>
          <w:lang w:val="mk-MK"/>
        </w:rPr>
        <w:t>-Гаражи 2х15м2 х10% х86,00 односно 258,00мкд</w:t>
      </w:r>
    </w:p>
    <w:p w:rsidR="005B5E82" w:rsidRDefault="00253F74">
      <w:pPr>
        <w:jc w:val="both"/>
        <w:rPr>
          <w:rFonts w:ascii="Arial" w:hAnsi="Arial" w:cs="Arial"/>
          <w:sz w:val="22"/>
          <w:szCs w:val="22"/>
          <w:lang w:val="mk-MK"/>
        </w:rPr>
      </w:pPr>
      <w:r>
        <w:rPr>
          <w:rFonts w:ascii="Arial" w:hAnsi="Arial" w:cs="Arial"/>
          <w:sz w:val="22"/>
          <w:szCs w:val="22"/>
          <w:lang w:val="mk-MK"/>
        </w:rPr>
        <w:t>-Санитарни чворови 2х6м2 х 858,00 односно 10.296,00мкд</w:t>
      </w:r>
    </w:p>
    <w:p w:rsidR="005B5E82" w:rsidRDefault="00253F74">
      <w:pPr>
        <w:jc w:val="both"/>
        <w:rPr>
          <w:rFonts w:ascii="Arial" w:hAnsi="Arial" w:cs="Arial"/>
          <w:sz w:val="22"/>
          <w:szCs w:val="22"/>
          <w:lang w:val="mk-MK"/>
        </w:rPr>
      </w:pPr>
      <w:r>
        <w:rPr>
          <w:rFonts w:ascii="Arial" w:hAnsi="Arial" w:cs="Arial"/>
          <w:sz w:val="22"/>
          <w:szCs w:val="22"/>
          <w:lang w:val="mk-MK"/>
        </w:rPr>
        <w:t>-Селски стоп.објекти 9х40м2 х 184,5 односно 66.348,00 мкд</w:t>
      </w:r>
    </w:p>
    <w:p w:rsidR="005B5E82" w:rsidRDefault="00253F74">
      <w:pPr>
        <w:jc w:val="both"/>
        <w:rPr>
          <w:rFonts w:ascii="Arial" w:hAnsi="Arial" w:cs="Arial"/>
          <w:sz w:val="22"/>
          <w:szCs w:val="22"/>
          <w:lang w:val="mk-MK"/>
        </w:rPr>
      </w:pPr>
      <w:r>
        <w:rPr>
          <w:rFonts w:ascii="Arial" w:hAnsi="Arial" w:cs="Arial"/>
          <w:sz w:val="22"/>
          <w:szCs w:val="22"/>
          <w:lang w:val="mk-MK"/>
        </w:rPr>
        <w:t>-Деловни простории 1х</w:t>
      </w:r>
      <w:r>
        <w:rPr>
          <w:rFonts w:ascii="Arial" w:hAnsi="Arial" w:cs="Arial"/>
          <w:sz w:val="22"/>
          <w:szCs w:val="22"/>
          <w:lang w:val="mk-MK"/>
        </w:rPr>
        <w:t>30м2 х 1537,5 односно 46.125,00мкд</w:t>
      </w:r>
    </w:p>
    <w:p w:rsidR="005B5E82" w:rsidRDefault="00253F74">
      <w:pPr>
        <w:jc w:val="both"/>
        <w:rPr>
          <w:rFonts w:ascii="Arial" w:hAnsi="Arial" w:cs="Arial"/>
          <w:b/>
          <w:bCs/>
          <w:sz w:val="22"/>
          <w:szCs w:val="22"/>
          <w:lang w:val="mk-MK"/>
        </w:rPr>
      </w:pPr>
      <w:r>
        <w:rPr>
          <w:rFonts w:ascii="Arial" w:hAnsi="Arial" w:cs="Arial"/>
          <w:b/>
          <w:bCs/>
          <w:sz w:val="22"/>
          <w:szCs w:val="22"/>
          <w:lang w:val="mk-MK"/>
        </w:rPr>
        <w:t>Вкупно.........183.087,00мкд</w:t>
      </w:r>
    </w:p>
    <w:p w:rsidR="005B5E82" w:rsidRDefault="00253F74">
      <w:pPr>
        <w:jc w:val="both"/>
        <w:rPr>
          <w:rFonts w:ascii="Arial" w:hAnsi="Arial" w:cs="Arial"/>
          <w:sz w:val="22"/>
          <w:szCs w:val="22"/>
          <w:lang w:val="mk-MK"/>
        </w:rPr>
      </w:pPr>
      <w:r>
        <w:rPr>
          <w:rFonts w:ascii="Arial" w:hAnsi="Arial" w:cs="Arial"/>
          <w:sz w:val="22"/>
          <w:szCs w:val="22"/>
          <w:lang w:val="mk-MK"/>
        </w:rPr>
        <w:t>Доградба и надградба во втора зона на Зрновци</w:t>
      </w:r>
    </w:p>
    <w:p w:rsidR="005B5E82" w:rsidRDefault="00253F74">
      <w:pPr>
        <w:jc w:val="both"/>
        <w:rPr>
          <w:rFonts w:ascii="Arial" w:hAnsi="Arial" w:cs="Arial"/>
          <w:sz w:val="22"/>
          <w:szCs w:val="22"/>
          <w:lang w:val="mk-MK"/>
        </w:rPr>
      </w:pPr>
      <w:r>
        <w:rPr>
          <w:rFonts w:ascii="Arial" w:hAnsi="Arial" w:cs="Arial"/>
          <w:sz w:val="22"/>
          <w:szCs w:val="22"/>
          <w:lang w:val="mk-MK"/>
        </w:rPr>
        <w:t>-Доградба и надградба 2х35м2 х 630,00 односно 44.100,00 мкд</w:t>
      </w:r>
    </w:p>
    <w:p w:rsidR="005B5E82" w:rsidRDefault="00253F74">
      <w:pPr>
        <w:jc w:val="both"/>
        <w:rPr>
          <w:rFonts w:ascii="Arial" w:hAnsi="Arial" w:cs="Arial"/>
          <w:sz w:val="22"/>
          <w:szCs w:val="22"/>
          <w:lang w:val="mk-MK"/>
        </w:rPr>
      </w:pPr>
      <w:r>
        <w:rPr>
          <w:rFonts w:ascii="Arial" w:hAnsi="Arial" w:cs="Arial"/>
          <w:sz w:val="22"/>
          <w:szCs w:val="22"/>
          <w:lang w:val="mk-MK"/>
        </w:rPr>
        <w:t>-Гаражи 2х15м2 х 10% 63,00 односно 1.890,00 мкд</w:t>
      </w:r>
    </w:p>
    <w:p w:rsidR="005B5E82" w:rsidRDefault="00253F74">
      <w:pPr>
        <w:jc w:val="both"/>
        <w:rPr>
          <w:rFonts w:ascii="Arial" w:hAnsi="Arial" w:cs="Arial"/>
          <w:sz w:val="22"/>
          <w:szCs w:val="22"/>
          <w:lang w:val="mk-MK"/>
        </w:rPr>
      </w:pPr>
      <w:r>
        <w:rPr>
          <w:rFonts w:ascii="Arial" w:hAnsi="Arial" w:cs="Arial"/>
          <w:sz w:val="22"/>
          <w:szCs w:val="22"/>
          <w:lang w:val="mk-MK"/>
        </w:rPr>
        <w:t>-Санитарни чворови 2х6м2 х 630,00 одно</w:t>
      </w:r>
      <w:r>
        <w:rPr>
          <w:rFonts w:ascii="Arial" w:hAnsi="Arial" w:cs="Arial"/>
          <w:sz w:val="22"/>
          <w:szCs w:val="22"/>
          <w:lang w:val="mk-MK"/>
        </w:rPr>
        <w:t>сно 7.560,00 мкд</w:t>
      </w:r>
    </w:p>
    <w:p w:rsidR="005B5E82" w:rsidRDefault="00253F74">
      <w:pPr>
        <w:jc w:val="both"/>
        <w:rPr>
          <w:rFonts w:ascii="Arial" w:hAnsi="Arial" w:cs="Arial"/>
          <w:sz w:val="22"/>
          <w:szCs w:val="22"/>
          <w:lang w:val="mk-MK"/>
        </w:rPr>
      </w:pPr>
      <w:r>
        <w:rPr>
          <w:rFonts w:ascii="Arial" w:hAnsi="Arial" w:cs="Arial"/>
          <w:sz w:val="22"/>
          <w:szCs w:val="22"/>
          <w:lang w:val="mk-MK"/>
        </w:rPr>
        <w:t>-Селски стоп.објекти 9х40м2 х 184,5 односно 66.348,00 мкд</w:t>
      </w:r>
    </w:p>
    <w:p w:rsidR="005B5E82" w:rsidRDefault="00253F74">
      <w:pPr>
        <w:jc w:val="both"/>
        <w:rPr>
          <w:rFonts w:ascii="Arial" w:hAnsi="Arial" w:cs="Arial"/>
          <w:sz w:val="22"/>
          <w:szCs w:val="22"/>
          <w:lang w:val="mk-MK"/>
        </w:rPr>
      </w:pPr>
      <w:r>
        <w:rPr>
          <w:rFonts w:ascii="Arial" w:hAnsi="Arial" w:cs="Arial"/>
          <w:sz w:val="22"/>
          <w:szCs w:val="22"/>
          <w:lang w:val="mk-MK"/>
        </w:rPr>
        <w:t>-Деловни простории 1х30м2 х 1537,5 односно 46.125,00 мкд</w:t>
      </w:r>
    </w:p>
    <w:p w:rsidR="005B5E82" w:rsidRDefault="00253F74">
      <w:pPr>
        <w:jc w:val="both"/>
        <w:rPr>
          <w:rFonts w:ascii="Arial" w:hAnsi="Arial" w:cs="Arial"/>
          <w:b/>
          <w:bCs/>
          <w:sz w:val="22"/>
          <w:szCs w:val="22"/>
          <w:lang w:val="mk-MK"/>
        </w:rPr>
      </w:pPr>
      <w:r>
        <w:rPr>
          <w:rFonts w:ascii="Arial" w:hAnsi="Arial" w:cs="Arial"/>
          <w:b/>
          <w:bCs/>
          <w:sz w:val="22"/>
          <w:szCs w:val="22"/>
          <w:lang w:val="mk-MK"/>
        </w:rPr>
        <w:t>Вкупно .............166.023,00 мкд</w:t>
      </w:r>
    </w:p>
    <w:p w:rsidR="005B5E82" w:rsidRDefault="00253F74">
      <w:pPr>
        <w:jc w:val="both"/>
        <w:rPr>
          <w:rFonts w:ascii="Arial" w:hAnsi="Arial" w:cs="Arial"/>
          <w:sz w:val="22"/>
          <w:szCs w:val="22"/>
          <w:lang w:val="mk-MK"/>
        </w:rPr>
      </w:pPr>
      <w:r>
        <w:rPr>
          <w:rFonts w:ascii="Arial" w:hAnsi="Arial" w:cs="Arial"/>
          <w:sz w:val="22"/>
          <w:szCs w:val="22"/>
          <w:lang w:val="mk-MK"/>
        </w:rPr>
        <w:t>Доградба и надградба во Мородвис и Видовиште</w:t>
      </w:r>
    </w:p>
    <w:p w:rsidR="005B5E82" w:rsidRDefault="005B5E82">
      <w:pPr>
        <w:jc w:val="both"/>
        <w:rPr>
          <w:rFonts w:ascii="Arial" w:hAnsi="Arial" w:cs="Arial"/>
          <w:sz w:val="22"/>
          <w:szCs w:val="22"/>
          <w:lang w:val="mk-MK"/>
        </w:rPr>
      </w:pPr>
    </w:p>
    <w:p w:rsidR="005B5E82" w:rsidRDefault="00253F74">
      <w:pPr>
        <w:jc w:val="both"/>
        <w:rPr>
          <w:rFonts w:ascii="Arial" w:hAnsi="Arial" w:cs="Arial"/>
          <w:sz w:val="22"/>
          <w:szCs w:val="22"/>
          <w:lang w:val="mk-MK"/>
        </w:rPr>
      </w:pPr>
      <w:r>
        <w:rPr>
          <w:rFonts w:ascii="Arial" w:hAnsi="Arial" w:cs="Arial"/>
          <w:sz w:val="22"/>
          <w:szCs w:val="22"/>
          <w:lang w:val="mk-MK"/>
        </w:rPr>
        <w:t>-Доградба и надградба 2х 35,2 х50% х 630,00</w:t>
      </w:r>
      <w:r>
        <w:rPr>
          <w:rFonts w:ascii="Arial" w:hAnsi="Arial" w:cs="Arial"/>
          <w:sz w:val="22"/>
          <w:szCs w:val="22"/>
          <w:lang w:val="mk-MK"/>
        </w:rPr>
        <w:t xml:space="preserve"> односно 22.050,00 мкд</w:t>
      </w:r>
    </w:p>
    <w:p w:rsidR="005B5E82" w:rsidRDefault="00253F74">
      <w:pPr>
        <w:jc w:val="both"/>
        <w:rPr>
          <w:rFonts w:ascii="Arial" w:hAnsi="Arial" w:cs="Arial"/>
          <w:sz w:val="22"/>
          <w:szCs w:val="22"/>
          <w:lang w:val="mk-MK"/>
        </w:rPr>
      </w:pPr>
      <w:r>
        <w:rPr>
          <w:rFonts w:ascii="Arial" w:hAnsi="Arial" w:cs="Arial"/>
          <w:sz w:val="22"/>
          <w:szCs w:val="22"/>
          <w:lang w:val="mk-MK"/>
        </w:rPr>
        <w:t>-Селски стопански објекти 6х 40м2 х 50% х 184,5 односно 22.140,00 мкд</w:t>
      </w:r>
    </w:p>
    <w:p w:rsidR="005B5E82" w:rsidRDefault="00253F74">
      <w:pPr>
        <w:jc w:val="both"/>
        <w:rPr>
          <w:rFonts w:ascii="Arial" w:hAnsi="Arial" w:cs="Arial"/>
          <w:b/>
          <w:bCs/>
          <w:sz w:val="22"/>
          <w:szCs w:val="22"/>
          <w:lang w:val="mk-MK"/>
        </w:rPr>
      </w:pPr>
      <w:r>
        <w:rPr>
          <w:rFonts w:ascii="Arial" w:hAnsi="Arial" w:cs="Arial"/>
          <w:b/>
          <w:bCs/>
          <w:sz w:val="22"/>
          <w:szCs w:val="22"/>
          <w:lang w:val="mk-MK"/>
        </w:rPr>
        <w:t>Вкупно................44.190,00 мкд</w:t>
      </w:r>
    </w:p>
    <w:p w:rsidR="005B5E82" w:rsidRDefault="00253F74">
      <w:pPr>
        <w:jc w:val="both"/>
        <w:rPr>
          <w:rFonts w:ascii="Arial" w:hAnsi="Arial" w:cs="Arial"/>
          <w:sz w:val="22"/>
          <w:szCs w:val="22"/>
          <w:lang w:val="mk-MK"/>
        </w:rPr>
      </w:pPr>
      <w:r>
        <w:rPr>
          <w:rFonts w:ascii="Arial" w:hAnsi="Arial" w:cs="Arial"/>
          <w:b/>
          <w:bCs/>
          <w:sz w:val="22"/>
          <w:szCs w:val="22"/>
          <w:lang w:val="mk-MK"/>
        </w:rPr>
        <w:tab/>
      </w:r>
      <w:r>
        <w:rPr>
          <w:rFonts w:ascii="Arial" w:hAnsi="Arial" w:cs="Arial"/>
          <w:sz w:val="22"/>
          <w:szCs w:val="22"/>
          <w:lang w:val="mk-MK"/>
        </w:rPr>
        <w:t>Приходи од нови градби кои се очекуваат доколку се реализира Програмата во Зрновци</w:t>
      </w:r>
    </w:p>
    <w:p w:rsidR="005B5E82" w:rsidRDefault="00253F74">
      <w:pPr>
        <w:jc w:val="both"/>
        <w:rPr>
          <w:rFonts w:ascii="Arial" w:hAnsi="Arial" w:cs="Arial"/>
          <w:sz w:val="22"/>
          <w:szCs w:val="22"/>
          <w:lang w:val="mk-MK"/>
        </w:rPr>
      </w:pPr>
      <w:r>
        <w:rPr>
          <w:rFonts w:ascii="Arial" w:hAnsi="Arial" w:cs="Arial"/>
          <w:sz w:val="22"/>
          <w:szCs w:val="22"/>
          <w:lang w:val="mk-MK"/>
        </w:rPr>
        <w:t>-Индивидуални стамбени згради 4 х 132.840,0</w:t>
      </w:r>
      <w:r>
        <w:rPr>
          <w:rFonts w:ascii="Arial" w:hAnsi="Arial" w:cs="Arial"/>
          <w:sz w:val="22"/>
          <w:szCs w:val="22"/>
          <w:lang w:val="mk-MK"/>
        </w:rPr>
        <w:t>0 =531.360,00 мкд</w:t>
      </w:r>
    </w:p>
    <w:p w:rsidR="005B5E82" w:rsidRDefault="00253F74">
      <w:pPr>
        <w:jc w:val="both"/>
        <w:rPr>
          <w:rFonts w:ascii="Arial" w:hAnsi="Arial" w:cs="Arial"/>
          <w:sz w:val="22"/>
          <w:szCs w:val="22"/>
          <w:lang w:val="mk-MK"/>
        </w:rPr>
      </w:pPr>
      <w:r>
        <w:rPr>
          <w:rFonts w:ascii="Arial" w:hAnsi="Arial" w:cs="Arial"/>
          <w:sz w:val="22"/>
          <w:szCs w:val="22"/>
          <w:lang w:val="mk-MK"/>
        </w:rPr>
        <w:t>-Индустриски и производни објекти 1х 190м2 х 154 односно 29.260,00 мкд</w:t>
      </w:r>
    </w:p>
    <w:p w:rsidR="005B5E82" w:rsidRDefault="00253F74">
      <w:pPr>
        <w:jc w:val="both"/>
        <w:rPr>
          <w:rFonts w:ascii="Arial" w:hAnsi="Arial" w:cs="Arial"/>
          <w:b/>
          <w:bCs/>
          <w:sz w:val="22"/>
          <w:szCs w:val="22"/>
          <w:lang w:val="mk-MK"/>
        </w:rPr>
      </w:pPr>
      <w:r>
        <w:rPr>
          <w:rFonts w:ascii="Arial" w:hAnsi="Arial" w:cs="Arial"/>
          <w:b/>
          <w:bCs/>
          <w:sz w:val="22"/>
          <w:szCs w:val="22"/>
          <w:lang w:val="mk-MK"/>
        </w:rPr>
        <w:t>Вкупно........542.620,00мкд</w:t>
      </w:r>
    </w:p>
    <w:p w:rsidR="005B5E82" w:rsidRDefault="00253F74">
      <w:pPr>
        <w:jc w:val="both"/>
        <w:rPr>
          <w:rFonts w:ascii="Arial" w:hAnsi="Arial" w:cs="Arial"/>
          <w:sz w:val="22"/>
          <w:szCs w:val="22"/>
          <w:lang w:val="en-US"/>
        </w:rPr>
      </w:pPr>
      <w:r>
        <w:rPr>
          <w:rFonts w:ascii="Arial" w:hAnsi="Arial" w:cs="Arial"/>
          <w:sz w:val="22"/>
          <w:szCs w:val="22"/>
          <w:lang w:val="mk-MK"/>
        </w:rPr>
        <w:t>Приходи од нови градби во Видовиште и Мородвис доколку се реализира програмата</w:t>
      </w:r>
      <w:r>
        <w:rPr>
          <w:rFonts w:ascii="Arial" w:hAnsi="Arial" w:cs="Arial"/>
          <w:sz w:val="22"/>
          <w:szCs w:val="22"/>
          <w:lang w:val="en-US"/>
        </w:rPr>
        <w:t>:</w:t>
      </w:r>
    </w:p>
    <w:p w:rsidR="005B5E82" w:rsidRDefault="00253F74">
      <w:pPr>
        <w:jc w:val="both"/>
        <w:rPr>
          <w:rFonts w:ascii="Arial" w:hAnsi="Arial" w:cs="Arial"/>
          <w:sz w:val="22"/>
          <w:szCs w:val="22"/>
          <w:lang w:val="mk-MK"/>
        </w:rPr>
      </w:pPr>
      <w:r>
        <w:rPr>
          <w:rFonts w:ascii="Arial" w:hAnsi="Arial" w:cs="Arial"/>
          <w:sz w:val="22"/>
          <w:szCs w:val="22"/>
          <w:lang w:val="en-US"/>
        </w:rPr>
        <w:tab/>
        <w:t>-</w:t>
      </w:r>
      <w:r>
        <w:rPr>
          <w:rFonts w:ascii="Arial" w:hAnsi="Arial" w:cs="Arial"/>
          <w:sz w:val="22"/>
          <w:szCs w:val="22"/>
          <w:lang w:val="mk-MK"/>
        </w:rPr>
        <w:t xml:space="preserve">Индивидуални стамбени згради 2 х 66.420,00 односно </w:t>
      </w:r>
      <w:r>
        <w:rPr>
          <w:rFonts w:ascii="Arial" w:hAnsi="Arial" w:cs="Arial"/>
          <w:sz w:val="22"/>
          <w:szCs w:val="22"/>
          <w:lang w:val="mk-MK"/>
        </w:rPr>
        <w:t>132.840,00мкд</w:t>
      </w:r>
    </w:p>
    <w:p w:rsidR="005B5E82" w:rsidRDefault="00253F74">
      <w:pPr>
        <w:jc w:val="both"/>
        <w:rPr>
          <w:rFonts w:ascii="Arial" w:hAnsi="Arial" w:cs="Arial"/>
          <w:sz w:val="22"/>
          <w:szCs w:val="22"/>
          <w:lang w:val="mk-MK"/>
        </w:rPr>
      </w:pPr>
      <w:r>
        <w:rPr>
          <w:rFonts w:ascii="Arial" w:hAnsi="Arial" w:cs="Arial"/>
          <w:sz w:val="22"/>
          <w:szCs w:val="22"/>
          <w:lang w:val="mk-MK"/>
        </w:rPr>
        <w:tab/>
        <w:t>-Индустриски и производни објекти 1 х 190м2 х 7.5 х 50% односно 14.630,00 мкд</w:t>
      </w:r>
    </w:p>
    <w:p w:rsidR="005B5E82" w:rsidRDefault="00253F74">
      <w:pPr>
        <w:jc w:val="both"/>
        <w:rPr>
          <w:rFonts w:ascii="Arial" w:hAnsi="Arial" w:cs="Arial"/>
          <w:b/>
          <w:bCs/>
          <w:sz w:val="22"/>
          <w:szCs w:val="22"/>
          <w:lang w:val="mk-MK"/>
        </w:rPr>
      </w:pPr>
      <w:r>
        <w:rPr>
          <w:rFonts w:ascii="Arial" w:hAnsi="Arial" w:cs="Arial"/>
          <w:b/>
          <w:bCs/>
          <w:sz w:val="22"/>
          <w:szCs w:val="22"/>
          <w:lang w:val="mk-MK"/>
        </w:rPr>
        <w:t>Вкупно...............147.470 мкд</w:t>
      </w:r>
    </w:p>
    <w:p w:rsidR="005B5E82" w:rsidRDefault="00253F74">
      <w:pPr>
        <w:jc w:val="both"/>
        <w:rPr>
          <w:rFonts w:ascii="Arial" w:hAnsi="Arial" w:cs="Arial"/>
          <w:sz w:val="22"/>
          <w:szCs w:val="22"/>
          <w:lang w:val="mk-MK"/>
        </w:rPr>
      </w:pPr>
      <w:r>
        <w:rPr>
          <w:rFonts w:ascii="Arial" w:hAnsi="Arial" w:cs="Arial"/>
          <w:b/>
          <w:bCs/>
          <w:sz w:val="22"/>
          <w:szCs w:val="22"/>
          <w:lang w:val="mk-MK"/>
        </w:rPr>
        <w:tab/>
      </w:r>
      <w:r>
        <w:rPr>
          <w:rFonts w:ascii="Arial" w:hAnsi="Arial" w:cs="Arial"/>
          <w:sz w:val="22"/>
          <w:szCs w:val="22"/>
          <w:lang w:val="mk-MK"/>
        </w:rPr>
        <w:t xml:space="preserve">Вкупни приходи кои се очекуваат по оваа програма на ниво на општина Зрновци доколку се реализира истата ќе изнесуваат </w:t>
      </w:r>
      <w:r>
        <w:rPr>
          <w:rFonts w:ascii="Arial" w:hAnsi="Arial" w:cs="Arial"/>
          <w:sz w:val="22"/>
          <w:szCs w:val="22"/>
          <w:lang w:val="mk-MK"/>
        </w:rPr>
        <w:t>40.743.518,00 мкд</w:t>
      </w:r>
    </w:p>
    <w:p w:rsidR="005B5E82" w:rsidRDefault="005B5E82">
      <w:pPr>
        <w:jc w:val="both"/>
        <w:rPr>
          <w:rFonts w:ascii="Arial" w:hAnsi="Arial" w:cs="Arial"/>
          <w:sz w:val="22"/>
          <w:szCs w:val="22"/>
          <w:lang w:val="mk-MK"/>
        </w:rPr>
      </w:pPr>
    </w:p>
    <w:p w:rsidR="005B5E82" w:rsidRDefault="00253F74">
      <w:pPr>
        <w:jc w:val="both"/>
        <w:rPr>
          <w:rFonts w:ascii="Arial" w:hAnsi="Arial" w:cs="Arial"/>
          <w:b/>
          <w:bCs/>
          <w:sz w:val="22"/>
          <w:szCs w:val="22"/>
          <w:lang w:val="mk-MK"/>
        </w:rPr>
      </w:pPr>
      <w:r>
        <w:rPr>
          <w:rFonts w:ascii="Arial" w:hAnsi="Arial" w:cs="Arial"/>
          <w:b/>
          <w:bCs/>
          <w:sz w:val="22"/>
          <w:szCs w:val="22"/>
          <w:lang w:val="mk-MK"/>
        </w:rPr>
        <w:t>РАСХОДИ</w:t>
      </w:r>
    </w:p>
    <w:p w:rsidR="005B5E82" w:rsidRDefault="00253F74">
      <w:pPr>
        <w:jc w:val="both"/>
        <w:rPr>
          <w:rFonts w:ascii="Arial" w:hAnsi="Arial" w:cs="Arial"/>
          <w:sz w:val="22"/>
          <w:szCs w:val="22"/>
          <w:lang w:val="mk-MK"/>
        </w:rPr>
      </w:pPr>
      <w:r>
        <w:rPr>
          <w:rFonts w:ascii="Arial" w:hAnsi="Arial" w:cs="Arial"/>
          <w:sz w:val="22"/>
          <w:szCs w:val="22"/>
          <w:lang w:val="mk-MK"/>
        </w:rPr>
        <w:t>Доколку предвидените средства се приберат истите ќе се трошат по следниот редослед</w:t>
      </w:r>
      <w:r>
        <w:rPr>
          <w:rFonts w:ascii="Arial" w:hAnsi="Arial" w:cs="Arial"/>
          <w:sz w:val="22"/>
          <w:szCs w:val="22"/>
          <w:lang w:val="en-US"/>
        </w:rPr>
        <w:t>:</w:t>
      </w:r>
    </w:p>
    <w:p w:rsidR="005B5E82" w:rsidRDefault="00253F74">
      <w:pPr>
        <w:jc w:val="both"/>
        <w:rPr>
          <w:rFonts w:ascii="Arial" w:hAnsi="Arial" w:cs="Arial"/>
          <w:sz w:val="22"/>
          <w:szCs w:val="22"/>
          <w:lang w:val="mk-MK"/>
        </w:rPr>
      </w:pPr>
      <w:r>
        <w:rPr>
          <w:rFonts w:ascii="Arial" w:hAnsi="Arial" w:cs="Arial"/>
          <w:sz w:val="22"/>
          <w:szCs w:val="22"/>
          <w:lang w:val="mk-MK"/>
        </w:rPr>
        <w:t>-Довршување на канализацијата во Зрновци ........408.735,00 мкд</w:t>
      </w:r>
    </w:p>
    <w:p w:rsidR="005B5E82" w:rsidRDefault="00253F74">
      <w:pPr>
        <w:jc w:val="both"/>
        <w:rPr>
          <w:rFonts w:ascii="Arial" w:hAnsi="Arial" w:cs="Arial"/>
          <w:sz w:val="22"/>
          <w:szCs w:val="22"/>
          <w:lang w:val="mk-MK"/>
        </w:rPr>
      </w:pPr>
      <w:r>
        <w:rPr>
          <w:rFonts w:ascii="Arial" w:hAnsi="Arial" w:cs="Arial"/>
          <w:sz w:val="22"/>
          <w:szCs w:val="22"/>
          <w:lang w:val="mk-MK"/>
        </w:rPr>
        <w:t>-Проширување на водоводната мрежа...................466.268,00мкд</w:t>
      </w:r>
    </w:p>
    <w:p w:rsidR="005B5E82" w:rsidRDefault="00253F74">
      <w:pPr>
        <w:jc w:val="both"/>
        <w:rPr>
          <w:rFonts w:ascii="Arial" w:hAnsi="Arial" w:cs="Arial"/>
          <w:sz w:val="22"/>
          <w:szCs w:val="22"/>
          <w:lang w:val="mk-MK"/>
        </w:rPr>
      </w:pPr>
      <w:r>
        <w:rPr>
          <w:rFonts w:ascii="Arial" w:hAnsi="Arial" w:cs="Arial"/>
          <w:sz w:val="22"/>
          <w:szCs w:val="22"/>
          <w:lang w:val="mk-MK"/>
        </w:rPr>
        <w:t>-Проширување на</w:t>
      </w:r>
      <w:r>
        <w:rPr>
          <w:rFonts w:ascii="Arial" w:hAnsi="Arial" w:cs="Arial"/>
          <w:sz w:val="22"/>
          <w:szCs w:val="22"/>
          <w:lang w:val="mk-MK"/>
        </w:rPr>
        <w:t xml:space="preserve"> електрична мрежа......................140.000,00мкд</w:t>
      </w:r>
    </w:p>
    <w:p w:rsidR="005B5E82" w:rsidRDefault="00253F74">
      <w:pPr>
        <w:jc w:val="both"/>
        <w:rPr>
          <w:rFonts w:ascii="Arial" w:hAnsi="Arial" w:cs="Arial"/>
          <w:sz w:val="22"/>
          <w:szCs w:val="22"/>
          <w:lang w:val="mk-MK"/>
        </w:rPr>
      </w:pPr>
      <w:r>
        <w:rPr>
          <w:rFonts w:ascii="Arial" w:hAnsi="Arial" w:cs="Arial"/>
          <w:sz w:val="22"/>
          <w:szCs w:val="22"/>
          <w:lang w:val="mk-MK"/>
        </w:rPr>
        <w:t>-Експропријација и депседирање.............................40.975,00,00мкд</w:t>
      </w:r>
    </w:p>
    <w:p w:rsidR="005B5E82" w:rsidRDefault="00253F74">
      <w:pPr>
        <w:jc w:val="both"/>
        <w:rPr>
          <w:rFonts w:ascii="M_Times" w:hAnsi="M_Times"/>
          <w:lang w:val="en-US"/>
        </w:rPr>
      </w:pPr>
      <w:r>
        <w:rPr>
          <w:rFonts w:ascii="Arial" w:hAnsi="Arial" w:cs="Arial"/>
          <w:sz w:val="22"/>
          <w:szCs w:val="22"/>
          <w:lang w:val="mk-MK"/>
        </w:rPr>
        <w:t>-Изградба на објекти под точка В.............................39.943.808,00мкд</w:t>
      </w:r>
      <w:bookmarkStart w:id="0" w:name="_GoBack"/>
      <w:bookmarkEnd w:id="0"/>
      <w:r>
        <w:rPr>
          <w:rFonts w:ascii="Arial" w:hAnsi="Arial" w:cs="Arial"/>
          <w:b/>
          <w:bCs/>
          <w:sz w:val="22"/>
          <w:szCs w:val="22"/>
          <w:lang w:val="mk-MK"/>
        </w:rPr>
        <w:tab/>
      </w:r>
    </w:p>
    <w:p w:rsidR="005B5E82" w:rsidRDefault="00253F74">
      <w:pPr>
        <w:jc w:val="both"/>
        <w:rPr>
          <w:rFonts w:ascii="M_Times" w:hAnsi="M_Times"/>
          <w:lang w:val="en-US"/>
        </w:rPr>
      </w:pPr>
      <w:r>
        <w:rPr>
          <w:rFonts w:ascii="M_Times" w:hAnsi="M_Times"/>
          <w:lang w:val="en-US"/>
        </w:rPr>
        <w:t>_________________________________________________</w:t>
      </w:r>
      <w:r>
        <w:rPr>
          <w:rFonts w:ascii="M_Times" w:hAnsi="M_Times"/>
          <w:lang w:val="en-US"/>
        </w:rPr>
        <w:t>____________________________________</w:t>
      </w:r>
    </w:p>
    <w:p w:rsidR="005B5E82" w:rsidRDefault="005B5E82">
      <w:pPr>
        <w:jc w:val="both"/>
        <w:rPr>
          <w:rFonts w:ascii="M_Times" w:hAnsi="M_Times"/>
          <w:lang w:val="en-US"/>
        </w:rPr>
      </w:pPr>
    </w:p>
    <w:p w:rsidR="005B5E82" w:rsidRDefault="00253F74">
      <w:pPr>
        <w:jc w:val="both"/>
        <w:rPr>
          <w:rFonts w:ascii="M_Times" w:hAnsi="M_Times"/>
          <w:b/>
          <w:lang w:val="en-US"/>
        </w:rPr>
      </w:pPr>
      <w:r>
        <w:rPr>
          <w:rFonts w:ascii="M_Times" w:hAnsi="M_Times"/>
          <w:b/>
          <w:lang w:val="en-US"/>
        </w:rPr>
        <w:t xml:space="preserve">                                        VKUPNO:                                      </w:t>
      </w:r>
      <w:r>
        <w:rPr>
          <w:rFonts w:ascii="M_Times" w:hAnsi="M_Times"/>
        </w:rPr>
        <w:t xml:space="preserve">40.743.518,00 </w:t>
      </w:r>
      <w:r>
        <w:rPr>
          <w:rFonts w:ascii="M_Times" w:hAnsi="M_Times"/>
          <w:b/>
          <w:lang w:val="en-US"/>
        </w:rPr>
        <w:t xml:space="preserve">mkd       </w:t>
      </w:r>
    </w:p>
    <w:p w:rsidR="005B5E82" w:rsidRDefault="005B5E82">
      <w:pPr>
        <w:rPr>
          <w:rFonts w:ascii="M_Times" w:hAnsi="M_Times"/>
          <w:lang w:val="mk-MK"/>
        </w:rPr>
      </w:pPr>
    </w:p>
    <w:p w:rsidR="005B5E82" w:rsidRDefault="005B5E82">
      <w:pPr>
        <w:jc w:val="center"/>
        <w:rPr>
          <w:rFonts w:ascii="M_Times" w:hAnsi="M_Times"/>
          <w:lang w:val="en-US"/>
        </w:rPr>
      </w:pPr>
    </w:p>
    <w:p w:rsidR="005B5E82" w:rsidRDefault="00253F74">
      <w:pPr>
        <w:jc w:val="center"/>
        <w:rPr>
          <w:rFonts w:ascii="M_Times" w:hAnsi="M_Times"/>
          <w:lang w:val="en-US"/>
        </w:rPr>
      </w:pPr>
      <w:r>
        <w:rPr>
          <w:rFonts w:ascii="M_Times" w:hAnsi="M_Times"/>
          <w:lang w:val="en-US"/>
        </w:rPr>
        <w:t>Sovet na op[</w:t>
      </w:r>
      <w:r>
        <w:rPr>
          <w:rFonts w:ascii="M_Times" w:hAnsi="M_Times"/>
          <w:lang w:val="en-US"/>
        </w:rPr>
        <w:t>tina Zrnovci</w:t>
      </w:r>
    </w:p>
    <w:p w:rsidR="005B5E82" w:rsidRDefault="00253F74">
      <w:pPr>
        <w:jc w:val="center"/>
        <w:rPr>
          <w:rFonts w:ascii="M_Times" w:hAnsi="M_Times"/>
          <w:lang w:val="en-US"/>
        </w:rPr>
      </w:pPr>
      <w:r>
        <w:rPr>
          <w:rFonts w:ascii="M_Times" w:hAnsi="M_Times"/>
          <w:lang w:val="en-US"/>
        </w:rPr>
        <w:t>Pretsedatel</w:t>
      </w:r>
    </w:p>
    <w:p w:rsidR="005B5E82" w:rsidRDefault="00253F74">
      <w:pPr>
        <w:jc w:val="center"/>
        <w:rPr>
          <w:rFonts w:ascii="M_Times" w:hAnsi="M_Times"/>
          <w:lang w:val="en-US"/>
        </w:rPr>
      </w:pPr>
      <w:r>
        <w:rPr>
          <w:rFonts w:ascii="M_Times" w:hAnsi="M_Times"/>
          <w:lang w:val="en-US"/>
        </w:rPr>
        <w:t xml:space="preserve">Viktor Anakiev  </w:t>
      </w:r>
    </w:p>
    <w:p w:rsidR="005B5E82" w:rsidRDefault="00253F74">
      <w:pPr>
        <w:jc w:val="center"/>
        <w:rPr>
          <w:rFonts w:ascii="M_Times" w:hAnsi="M_Times"/>
          <w:lang w:val="en-US"/>
        </w:rPr>
      </w:pPr>
      <w:r>
        <w:rPr>
          <w:rFonts w:ascii="M_Times" w:hAnsi="M_Times"/>
          <w:lang w:val="en-US"/>
        </w:rPr>
        <w:t xml:space="preserve">Br 08-1279/1 </w:t>
      </w:r>
    </w:p>
    <w:p w:rsidR="005B5E82" w:rsidRDefault="00253F74">
      <w:pPr>
        <w:jc w:val="center"/>
        <w:rPr>
          <w:rFonts w:ascii="M_Times" w:hAnsi="M_Times"/>
          <w:lang w:val="en-US"/>
        </w:rPr>
      </w:pPr>
      <w:r>
        <w:rPr>
          <w:rFonts w:ascii="M_Times" w:hAnsi="M_Times"/>
          <w:lang w:val="en-US"/>
        </w:rPr>
        <w:t xml:space="preserve">   11.12.2023</w:t>
      </w:r>
    </w:p>
    <w:p w:rsidR="005B5E82" w:rsidRDefault="005B5E82">
      <w:pPr>
        <w:tabs>
          <w:tab w:val="left" w:pos="9975"/>
        </w:tabs>
        <w:jc w:val="both"/>
        <w:rPr>
          <w:rFonts w:ascii="M_Times" w:hAnsi="M_Times" w:cs="Arial"/>
          <w:lang w:val="mk-MK"/>
        </w:rPr>
      </w:pPr>
    </w:p>
    <w:p w:rsidR="005B5E82" w:rsidRDefault="005B5E82">
      <w:pPr>
        <w:rPr>
          <w:rFonts w:ascii="Calibri" w:hAnsi="Calibri" w:cs="Arial"/>
          <w:lang w:val="en-US"/>
        </w:rPr>
      </w:pPr>
    </w:p>
    <w:p w:rsidR="005B5E82" w:rsidRDefault="005B5E82"/>
    <w:sectPr w:rsidR="005B5E82" w:rsidSect="005B5E8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M_Times">
    <w:panose1 w:val="02027200000000000000"/>
    <w:charset w:val="00"/>
    <w:family w:val="roman"/>
    <w:pitch w:val="variable"/>
    <w:sig w:usb0="00000003" w:usb1="00000000" w:usb2="00000000" w:usb3="00000000" w:csb0="00000001" w:csb1="00000000"/>
  </w:font>
  <w:font w:name="TTE1B85C78t00">
    <w:altName w:val="Arial"/>
    <w:charset w:val="CC"/>
    <w:family w:val="swiss"/>
    <w:pitch w:val="default"/>
    <w:sig w:usb0="00000000" w:usb1="00000000" w:usb2="00000000" w:usb3="00000000" w:csb0="00000004" w:csb1="00000000"/>
  </w:font>
  <w:font w:name="TTE24E6278t00">
    <w:altName w:val="Arial"/>
    <w:charset w:val="CC"/>
    <w:family w:val="swiss"/>
    <w:pitch w:val="default"/>
    <w:sig w:usb0="00000000" w:usb1="00000000" w:usb2="00000000" w:usb3="00000000" w:csb0="00000004" w:csb1="00000000"/>
  </w:font>
  <w:font w:name="TTE24E62F8t00">
    <w:altName w:val="Arial"/>
    <w:charset w:val="CC"/>
    <w:family w:val="swiss"/>
    <w:pitch w:val="default"/>
    <w:sig w:usb0="00000000" w:usb1="00000000" w:usb2="00000000" w:usb3="00000000" w:csb0="00000004" w:csb1="00000000"/>
  </w:font>
  <w:font w:name="Arial Bold">
    <w:altName w:val="Arial"/>
    <w:panose1 w:val="020B0704020202020204"/>
    <w:charset w:val="00"/>
    <w:family w:val="roman"/>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08F3B7"/>
    <w:multiLevelType w:val="singleLevel"/>
    <w:tmpl w:val="BE08F3B7"/>
    <w:lvl w:ilvl="0">
      <w:start w:val="1"/>
      <w:numFmt w:val="decimal"/>
      <w:lvlText w:val="%1."/>
      <w:lvlJc w:val="left"/>
      <w:pPr>
        <w:tabs>
          <w:tab w:val="left" w:pos="312"/>
        </w:tabs>
      </w:pPr>
    </w:lvl>
  </w:abstractNum>
  <w:abstractNum w:abstractNumId="1">
    <w:nsid w:val="ED8C17F8"/>
    <w:multiLevelType w:val="singleLevel"/>
    <w:tmpl w:val="ED8C17F8"/>
    <w:lvl w:ilvl="0">
      <w:start w:val="1"/>
      <w:numFmt w:val="decimal"/>
      <w:lvlText w:val="%1."/>
      <w:lvlJc w:val="left"/>
      <w:pPr>
        <w:tabs>
          <w:tab w:val="left" w:pos="312"/>
        </w:tabs>
      </w:pPr>
    </w:lvl>
  </w:abstractNum>
  <w:abstractNum w:abstractNumId="2">
    <w:nsid w:val="0B560AD3"/>
    <w:multiLevelType w:val="multilevel"/>
    <w:tmpl w:val="0B560AD3"/>
    <w:lvl w:ilvl="0">
      <w:start w:val="1"/>
      <w:numFmt w:val="upperLetter"/>
      <w:lvlText w:val="%1."/>
      <w:lvlJc w:val="left"/>
      <w:pPr>
        <w:tabs>
          <w:tab w:val="left" w:pos="720"/>
        </w:tabs>
        <w:ind w:left="720" w:hanging="360"/>
      </w:pPr>
    </w:lvl>
    <w:lvl w:ilvl="1">
      <w:start w:val="1"/>
      <w:numFmt w:val="decimal"/>
      <w:lvlText w:val="%2."/>
      <w:lvlJc w:val="left"/>
      <w:pPr>
        <w:tabs>
          <w:tab w:val="left" w:pos="1440"/>
        </w:tabs>
        <w:ind w:left="1563"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432061A"/>
    <w:multiLevelType w:val="multilevel"/>
    <w:tmpl w:val="1432061A"/>
    <w:lvl w:ilvl="0">
      <w:start w:val="1"/>
      <w:numFmt w:val="bullet"/>
      <w:lvlText w:val="≠"/>
      <w:lvlJc w:val="left"/>
      <w:pPr>
        <w:ind w:left="720" w:hanging="360"/>
      </w:pPr>
      <w:rPr>
        <w:rFonts w:ascii="MAC C Swiss" w:hAnsi="MAC C Swis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90930B0"/>
    <w:multiLevelType w:val="singleLevel"/>
    <w:tmpl w:val="290930B0"/>
    <w:lvl w:ilvl="0">
      <w:start w:val="1"/>
      <w:numFmt w:val="decimal"/>
      <w:lvlText w:val="%1."/>
      <w:lvlJc w:val="left"/>
      <w:pPr>
        <w:tabs>
          <w:tab w:val="left" w:pos="312"/>
        </w:tabs>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4E320E63"/>
    <w:rsid w:val="00253F74"/>
    <w:rsid w:val="005B5E82"/>
    <w:rsid w:val="20724176"/>
    <w:rsid w:val="348A542D"/>
    <w:rsid w:val="373C3DBE"/>
    <w:rsid w:val="4E320E63"/>
    <w:rsid w:val="5EE40CFC"/>
    <w:rsid w:val="649D36F3"/>
    <w:rsid w:val="745B4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E82"/>
    <w:rPr>
      <w:rFonts w:ascii="MAC C Times" w:eastAsia="Times New Roman" w:hAnsi="MAC C Times" w:cs="Times New Roman"/>
      <w:sz w:val="24"/>
      <w:szCs w:val="24"/>
      <w:lang w:val="en-GB"/>
    </w:rPr>
  </w:style>
  <w:style w:type="paragraph" w:styleId="Heading1">
    <w:name w:val="heading 1"/>
    <w:basedOn w:val="Normal"/>
    <w:next w:val="Normal"/>
    <w:qFormat/>
    <w:rsid w:val="005B5E82"/>
    <w:pPr>
      <w:keepNext/>
      <w:jc w:val="center"/>
      <w:outlineLvl w:val="0"/>
    </w:pPr>
    <w:rPr>
      <w:b/>
      <w:bCs/>
      <w:lang w:val="en-US"/>
    </w:rPr>
  </w:style>
  <w:style w:type="paragraph" w:styleId="Heading2">
    <w:name w:val="heading 2"/>
    <w:basedOn w:val="Normal"/>
    <w:next w:val="Normal"/>
    <w:qFormat/>
    <w:rsid w:val="005B5E82"/>
    <w:pPr>
      <w:keepNext/>
      <w:jc w:val="both"/>
      <w:outlineLvl w:val="1"/>
    </w:pPr>
    <w:rPr>
      <w:b/>
      <w:bCs/>
      <w:lang w:val="en-US"/>
    </w:rPr>
  </w:style>
  <w:style w:type="paragraph" w:styleId="Heading3">
    <w:name w:val="heading 3"/>
    <w:basedOn w:val="Normal"/>
    <w:next w:val="Normal"/>
    <w:qFormat/>
    <w:rsid w:val="005B5E82"/>
    <w:pPr>
      <w:keepNext/>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5B5E82"/>
    <w:pPr>
      <w:jc w:val="both"/>
    </w:pPr>
    <w:rPr>
      <w:lang w:val="en-US"/>
    </w:rPr>
  </w:style>
  <w:style w:type="paragraph" w:styleId="BodyText2">
    <w:name w:val="Body Text 2"/>
    <w:basedOn w:val="Normal"/>
    <w:qFormat/>
    <w:rsid w:val="005B5E82"/>
    <w:pPr>
      <w:spacing w:after="120" w:line="480" w:lineRule="auto"/>
    </w:pPr>
  </w:style>
  <w:style w:type="paragraph" w:styleId="BodyTextIndent">
    <w:name w:val="Body Text Indent"/>
    <w:basedOn w:val="Normal"/>
    <w:qFormat/>
    <w:rsid w:val="005B5E82"/>
    <w:pPr>
      <w:ind w:left="360"/>
      <w:jc w:val="both"/>
    </w:pPr>
    <w:rPr>
      <w:lang w:val="en-US"/>
    </w:rPr>
  </w:style>
  <w:style w:type="paragraph" w:styleId="BodyTextIndent2">
    <w:name w:val="Body Text Indent 2"/>
    <w:basedOn w:val="Normal"/>
    <w:qFormat/>
    <w:rsid w:val="005B5E82"/>
    <w:pPr>
      <w:spacing w:after="120" w:line="480" w:lineRule="auto"/>
      <w:ind w:left="283"/>
    </w:pPr>
  </w:style>
  <w:style w:type="paragraph" w:customStyle="1" w:styleId="Default">
    <w:name w:val="Default"/>
    <w:uiPriority w:val="99"/>
    <w:qFormat/>
    <w:rsid w:val="005B5E8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Pages>
  <Words>2914</Words>
  <Characters>16616</Characters>
  <Application>Microsoft Office Word</Application>
  <DocSecurity>0</DocSecurity>
  <Lines>138</Lines>
  <Paragraphs>38</Paragraphs>
  <ScaleCrop>false</ScaleCrop>
  <Company/>
  <LinksUpToDate>false</LinksUpToDate>
  <CharactersWithSpaces>19492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2024-01-11T09:16:00Z</dcterms:created>
  <dcterms:modified xsi:type="dcterms:W3CDTF">2024-03-05T11:26:00Z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0827104A53CB480D9ABC40F268FC67A1_11</vt:lpwstr>
  </property>
</Properties>
</file>